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34EB" w14:textId="77777777" w:rsidR="00785C6D" w:rsidRDefault="00785C6D" w:rsidP="00785C6D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</w:p>
    <w:p w14:paraId="797A0CE2" w14:textId="77777777" w:rsidR="00551374" w:rsidRDefault="00551374" w:rsidP="00785C6D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40"/>
          <w:szCs w:val="40"/>
          <w:lang w:val="pl-PL"/>
        </w:rPr>
      </w:pPr>
    </w:p>
    <w:p w14:paraId="5A4D416C" w14:textId="77777777" w:rsidR="00DD0481" w:rsidRPr="00DD0481" w:rsidRDefault="00D05200" w:rsidP="00DD0481">
      <w:pPr>
        <w:contextualSpacing/>
        <w:jc w:val="center"/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</w:pPr>
      <w:r w:rsidRPr="00551374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  <w:t xml:space="preserve">PROGRAM PUTOVANJA </w:t>
      </w:r>
      <w:r w:rsidR="00077D3B" w:rsidRPr="00551374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 xml:space="preserve">NEA </w:t>
      </w:r>
      <w:r w:rsidR="00DD0481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>PLAJA</w:t>
      </w:r>
      <w:r w:rsidR="00442CA6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 xml:space="preserve"> </w:t>
      </w:r>
      <w:r w:rsidR="000445FD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  <w:t>LETO 20</w:t>
      </w:r>
      <w:r w:rsidR="00DD0481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lang w:val="pl-PL"/>
        </w:rPr>
        <w:t>26</w:t>
      </w:r>
    </w:p>
    <w:p w14:paraId="60D3A7DF" w14:textId="77777777" w:rsidR="00DD0481" w:rsidRPr="00DD0481" w:rsidRDefault="00DD0481" w:rsidP="00DD0481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8"/>
          <w:szCs w:val="18"/>
        </w:rPr>
      </w:pP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jedna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od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neotkrivenih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destinacija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severozapadnog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 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Halkidikija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.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Nalazi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60 km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udaljenosti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od Soluna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blizini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Moudanie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pred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početak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poluostrva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Kasandra. Sa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obližnjom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 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Flogitom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 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spojena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pešačkom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stazom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turisti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toku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dana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laganom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šetnjom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mogu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posetiti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ovo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mesto. Celom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dužinom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mesta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prostire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lepa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peščana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dužine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4km. Na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ovoj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možete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uživati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zalascima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sunca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do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kasnih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poslepodnevnih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sati.</w:t>
      </w:r>
    </w:p>
    <w:p w14:paraId="32DBF579" w14:textId="77777777" w:rsidR="00DD0481" w:rsidRPr="00DD0481" w:rsidRDefault="00DD0481" w:rsidP="00DD0481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8"/>
          <w:szCs w:val="18"/>
        </w:rPr>
      </w:pP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malo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pitomo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letovalište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smešteno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istočnoj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obali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prvog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prsta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Halkidikija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, 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Kasandre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oko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100 km od Soluna. Ovo mesto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predstavlja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idealnu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destinaciju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one koji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traže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miran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opuštajući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odmor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daleko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od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gradske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gužve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ali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svim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potrebnim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sadržajima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dohvat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proofErr w:type="gram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ruke.Nea</w:t>
      </w:r>
      <w:proofErr w:type="spellEnd"/>
      <w:proofErr w:type="gram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ponosi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prelepom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peščano-šljunkovitom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koja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proteže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duž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obale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postepenim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ulaskom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toplo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kristalno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čisto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more.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pogodna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porodice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malom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decom,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ali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sve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koji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žele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uživaju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sunčanju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vodenim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sportovima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.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Okolina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okružena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borovom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šumom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koja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pruža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prijatnu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hladovinu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dodatno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doprinosi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opuštajućoj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atmosferi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.</w:t>
      </w:r>
      <w:r>
        <w:rPr>
          <w:rFonts w:asciiTheme="minorHAnsi" w:hAnsiTheme="minorHAnsi" w:cstheme="minorHAnsi"/>
          <w:color w:val="0A2360"/>
          <w:sz w:val="18"/>
          <w:szCs w:val="18"/>
        </w:rPr>
        <w:t xml:space="preserve"> </w:t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nudi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raznovrstan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smeštaj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– od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privatnih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vila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apartmana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do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manjih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hotela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.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Većina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smeštajnih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kapaciteta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nalazi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se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neposrednoj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blizini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što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omogućava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laganu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šetnju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do mora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uživanje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svakodnevnom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pogledu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Egejsko more.</w:t>
      </w:r>
    </w:p>
    <w:p w14:paraId="3B64E62B" w14:textId="77777777" w:rsidR="00E43A29" w:rsidRPr="00DD0481" w:rsidRDefault="00DD0481" w:rsidP="00DD0481">
      <w:pPr>
        <w:pStyle w:val="NormalWeb"/>
        <w:shd w:val="clear" w:color="auto" w:fill="FFFFFF"/>
        <w:spacing w:before="0" w:beforeAutospacing="0" w:after="169" w:afterAutospacing="0"/>
        <w:contextualSpacing/>
        <w:jc w:val="both"/>
        <w:rPr>
          <w:rFonts w:asciiTheme="minorHAnsi" w:hAnsiTheme="minorHAnsi" w:cstheme="minorHAnsi"/>
          <w:color w:val="0A2360"/>
          <w:sz w:val="18"/>
          <w:szCs w:val="18"/>
        </w:rPr>
      </w:pP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Pored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kupanja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sunčanja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turisti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mogu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uživati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šetnjama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duž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obale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vožnji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bicikla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kroz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mirne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uličice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ili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posetama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okolnim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selima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popularnim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letovalištima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 </w:t>
      </w:r>
      <w:proofErr w:type="spellStart"/>
      <w:r>
        <w:fldChar w:fldCharType="begin"/>
      </w:r>
      <w:r>
        <w:instrText>HYPERLINK "https://www.oktopod.rs/kasandra-hoteli/119" \t "_blank" \o "Kasandra hoteli"</w:instrText>
      </w:r>
      <w:r>
        <w:fldChar w:fldCharType="separate"/>
      </w:r>
      <w:r w:rsidRPr="00DD0481">
        <w:rPr>
          <w:rStyle w:val="Hyperlink"/>
          <w:rFonts w:asciiTheme="minorHAnsi" w:hAnsiTheme="minorHAnsi" w:cstheme="minorHAnsi"/>
          <w:b/>
          <w:bCs/>
          <w:color w:val="000080"/>
          <w:sz w:val="18"/>
          <w:szCs w:val="18"/>
        </w:rPr>
        <w:t>Kasandre</w:t>
      </w:r>
      <w:proofErr w:type="spellEnd"/>
      <w:r>
        <w:fldChar w:fldCharType="end"/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.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ljubitelje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aktivnog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odmora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dostupni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različiti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vodeni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sportovi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gram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</w:t>
      </w:r>
      <w:proofErr w:type="gram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okolna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priroda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pruža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mogućnosti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lagane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planinarske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ture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istraživanje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zelenih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proofErr w:type="gram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predela.Idealno</w:t>
      </w:r>
      <w:proofErr w:type="spellEnd"/>
      <w:proofErr w:type="gram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porodično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letovalište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mirnom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atmosferom</w:t>
      </w:r>
      <w:proofErr w:type="spellEnd"/>
      <w:r>
        <w:rPr>
          <w:rFonts w:asciiTheme="minorHAnsi" w:hAnsiTheme="minorHAnsi" w:cstheme="minorHAnsi"/>
          <w:color w:val="0A2360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80"/>
          <w:sz w:val="18"/>
          <w:szCs w:val="18"/>
        </w:rPr>
        <w:t>p</w:t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>relepa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postepenim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ulaskom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more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čistom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vodom</w:t>
      </w:r>
      <w:proofErr w:type="spellEnd"/>
      <w:r>
        <w:rPr>
          <w:rFonts w:asciiTheme="minorHAnsi" w:hAnsiTheme="minorHAnsi" w:cstheme="minorHAnsi"/>
          <w:color w:val="0A2360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A2360"/>
          <w:sz w:val="18"/>
          <w:szCs w:val="18"/>
        </w:rPr>
        <w:t>s</w:t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>meštaj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neposrednoj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blizini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plaže</w:t>
      </w:r>
      <w:proofErr w:type="spellEnd"/>
      <w:r>
        <w:rPr>
          <w:rFonts w:asciiTheme="minorHAnsi" w:hAnsiTheme="minorHAnsi" w:cstheme="minorHAnsi"/>
          <w:color w:val="0A2360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80"/>
          <w:sz w:val="18"/>
          <w:szCs w:val="18"/>
        </w:rPr>
        <w:t>b</w:t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>lizina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popularnih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letovališta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Kasandre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jednodnevne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izlete</w:t>
      </w:r>
      <w:proofErr w:type="spellEnd"/>
      <w:r>
        <w:rPr>
          <w:rFonts w:asciiTheme="minorHAnsi" w:hAnsiTheme="minorHAnsi" w:cstheme="minorHAnsi"/>
          <w:color w:val="000080"/>
          <w:sz w:val="18"/>
          <w:szCs w:val="18"/>
        </w:rPr>
        <w:t>.</w:t>
      </w:r>
      <w:r>
        <w:rPr>
          <w:rFonts w:asciiTheme="minorHAnsi" w:hAnsiTheme="minorHAnsi" w:cstheme="minorHAnsi"/>
          <w:color w:val="0A2360"/>
          <w:sz w:val="18"/>
          <w:szCs w:val="18"/>
        </w:rPr>
        <w:t xml:space="preserve"> </w:t>
      </w:r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Nea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Plaja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savršen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izbor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one koji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žele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da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leto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provedu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harmoniji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prirodom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uživajući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u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miru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,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čistoći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mora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mediteranskoj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atmosferi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. Ovo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malo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mesto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nudi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sve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što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je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potrebno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za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prijatan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relaksirajući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odmor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 xml:space="preserve"> 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na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 </w:t>
      </w:r>
      <w:proofErr w:type="spellStart"/>
      <w:r w:rsidRPr="00DD0481">
        <w:rPr>
          <w:rFonts w:asciiTheme="minorHAnsi" w:hAnsiTheme="minorHAnsi" w:cstheme="minorHAnsi"/>
          <w:color w:val="000080"/>
          <w:sz w:val="18"/>
          <w:szCs w:val="18"/>
        </w:rPr>
        <w:t>Halkidikiju</w:t>
      </w:r>
      <w:proofErr w:type="spellEnd"/>
      <w:r w:rsidRPr="00DD0481">
        <w:rPr>
          <w:rFonts w:asciiTheme="minorHAnsi" w:hAnsiTheme="minorHAnsi" w:cstheme="minorHAnsi"/>
          <w:color w:val="000080"/>
          <w:sz w:val="18"/>
          <w:szCs w:val="18"/>
        </w:rPr>
        <w:t>.</w:t>
      </w:r>
    </w:p>
    <w:tbl>
      <w:tblPr>
        <w:tblStyle w:val="MediumGrid3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775"/>
      </w:tblGrid>
      <w:tr w:rsidR="00EF47F1" w:rsidRPr="00EB6D5A" w14:paraId="07E4BA12" w14:textId="77777777" w:rsidTr="00390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5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8DED6D7" w14:textId="77777777" w:rsidR="00EF47F1" w:rsidRPr="00EB6D5A" w:rsidRDefault="00D05200">
            <w:pPr>
              <w:pStyle w:val="NoSpacing"/>
              <w:jc w:val="center"/>
              <w:rPr>
                <w:rFonts w:cs="Calibri"/>
                <w:b w:val="0"/>
                <w:bCs w:val="0"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sz w:val="16"/>
                <w:szCs w:val="16"/>
                <w:lang w:val="pl-PL"/>
              </w:rPr>
              <w:t>CENA PAKET ARANŽMAN NA BAZI 10 NOĆENJA PO OSOBI SA UKLJUČENIM AUTOBUSKIM PREVOZOM</w:t>
            </w:r>
          </w:p>
        </w:tc>
      </w:tr>
      <w:tr w:rsidR="00267F20" w:rsidRPr="00EB6D5A" w14:paraId="3984E032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5" w:type="dxa"/>
            <w:gridSpan w:val="1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CC2EE59" w14:textId="77777777" w:rsidR="00267F20" w:rsidRDefault="00267F20" w:rsidP="00DC59F1">
            <w:pPr>
              <w:pStyle w:val="NoSpacing"/>
              <w:jc w:val="center"/>
              <w:rPr>
                <w:rFonts w:cs="Calibri"/>
                <w:bCs w:val="0"/>
                <w:sz w:val="16"/>
                <w:szCs w:val="16"/>
              </w:rPr>
            </w:pPr>
            <w:r w:rsidRPr="00EB6D5A">
              <w:rPr>
                <w:rFonts w:cs="Calibri"/>
                <w:bCs w:val="0"/>
                <w:sz w:val="16"/>
                <w:szCs w:val="16"/>
                <w:lang w:val="pl-PL"/>
              </w:rPr>
              <w:t xml:space="preserve">VILA </w:t>
            </w:r>
            <w:r w:rsidR="00DD0481">
              <w:rPr>
                <w:rFonts w:cs="Calibri"/>
                <w:bCs w:val="0"/>
                <w:sz w:val="16"/>
                <w:szCs w:val="16"/>
                <w:lang w:val="pl-PL"/>
              </w:rPr>
              <w:t>A</w:t>
            </w:r>
            <w:r w:rsidR="00C96BD4">
              <w:rPr>
                <w:rFonts w:cs="Calibri"/>
                <w:bCs w:val="0"/>
                <w:sz w:val="16"/>
                <w:szCs w:val="16"/>
                <w:lang w:val="pl-PL"/>
              </w:rPr>
              <w:t>NĐELA</w:t>
            </w:r>
            <w:r w:rsidR="00923AA1">
              <w:rPr>
                <w:rFonts w:cs="Calibri"/>
                <w:bCs w:val="0"/>
                <w:sz w:val="16"/>
                <w:szCs w:val="16"/>
              </w:rPr>
              <w:t>– NEA FLOGITA</w:t>
            </w:r>
          </w:p>
          <w:p w14:paraId="0D3EB3D0" w14:textId="77777777" w:rsidR="00CE2A70" w:rsidRPr="00CE2A70" w:rsidRDefault="00CE2A70" w:rsidP="00DD0481">
            <w:pPr>
              <w:pStyle w:val="NoSpacing"/>
              <w:jc w:val="center"/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15%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Popusta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za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uplatu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aranžmana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u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celosti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do </w:t>
            </w:r>
            <w:r w:rsidR="00DD0481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07.02.2026</w:t>
            </w:r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10%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Popusta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za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uplatu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avansa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za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rezervaciju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do </w:t>
            </w:r>
            <w:r w:rsidR="00DD0481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07.02.2026</w:t>
            </w:r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ostatak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uplate</w:t>
            </w:r>
            <w:proofErr w:type="spellEnd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 xml:space="preserve"> do </w:t>
            </w:r>
            <w:proofErr w:type="spellStart"/>
            <w:r w:rsidRPr="00CE2A70">
              <w:rPr>
                <w:rStyle w:val="Strong"/>
                <w:rFonts w:asciiTheme="minorHAnsi" w:hAnsiTheme="minorHAnsi" w:cstheme="minorHAnsi"/>
                <w:b/>
                <w:sz w:val="16"/>
                <w:szCs w:val="16"/>
              </w:rPr>
              <w:t>polaska</w:t>
            </w:r>
            <w:proofErr w:type="spellEnd"/>
          </w:p>
        </w:tc>
      </w:tr>
      <w:tr w:rsidR="00267F20" w:rsidRPr="00EB6D5A" w14:paraId="63336EE2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999A965" w14:textId="77777777" w:rsidR="00267F20" w:rsidRPr="00EB6D5A" w:rsidRDefault="00267F20" w:rsidP="00A36E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B6D5A">
              <w:rPr>
                <w:rFonts w:cs="Calibri"/>
                <w:sz w:val="16"/>
                <w:szCs w:val="16"/>
                <w:lang w:val="pl-PL"/>
              </w:rPr>
              <w:t>Period boravka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704494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25.05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A7B19FA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FA08415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0BF7E190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F95132D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50D7239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7FE3DC7B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638E4A7A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64CC0475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01D3EA0E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9C6BDA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02.09.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18659938" w14:textId="77777777" w:rsidR="00267F20" w:rsidRPr="004B071B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12.09.</w:t>
            </w:r>
          </w:p>
        </w:tc>
        <w:tc>
          <w:tcPr>
            <w:tcW w:w="775" w:type="dxa"/>
            <w:shd w:val="clear" w:color="auto" w:fill="B8CCE4" w:themeFill="accent1" w:themeFillTint="66"/>
          </w:tcPr>
          <w:p w14:paraId="0CB3A7A7" w14:textId="77777777" w:rsidR="00267F20" w:rsidRPr="00EB6D5A" w:rsidRDefault="00923AA1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pl-PL"/>
              </w:rPr>
              <w:t>22</w:t>
            </w:r>
            <w:r w:rsidR="00267F20"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.09.</w:t>
            </w:r>
          </w:p>
        </w:tc>
      </w:tr>
      <w:tr w:rsidR="00267F20" w:rsidRPr="00EB6D5A" w14:paraId="2A991BF8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731BD4D" w14:textId="77777777" w:rsidR="00267F20" w:rsidRPr="00EB6D5A" w:rsidRDefault="00267F20" w:rsidP="00A36E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A380DB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372D7AF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7C922E0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24.06.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A4BBE18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26C88CF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76D3B471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24.07.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2BE4A6A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4939859F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EC7F8AF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23.08.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189C15D6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02.09.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36FE786D" w14:textId="77777777" w:rsidR="00267F20" w:rsidRPr="00EB6D5A" w:rsidRDefault="00267F20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12.09.</w:t>
            </w:r>
          </w:p>
        </w:tc>
        <w:tc>
          <w:tcPr>
            <w:tcW w:w="678" w:type="dxa"/>
            <w:shd w:val="clear" w:color="auto" w:fill="B8CCE4" w:themeFill="accent1" w:themeFillTint="66"/>
            <w:vAlign w:val="center"/>
          </w:tcPr>
          <w:p w14:paraId="5B5EC497" w14:textId="77777777" w:rsidR="00267F20" w:rsidRPr="004B071B" w:rsidRDefault="00E05879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17</w:t>
            </w:r>
            <w:r w:rsidR="00267F20" w:rsidRPr="004B071B">
              <w:rPr>
                <w:rFonts w:cs="Calibri"/>
                <w:b/>
                <w:bCs/>
                <w:sz w:val="16"/>
                <w:szCs w:val="16"/>
                <w:lang w:val="pl-PL"/>
              </w:rPr>
              <w:t>.09.</w:t>
            </w:r>
          </w:p>
        </w:tc>
        <w:tc>
          <w:tcPr>
            <w:tcW w:w="775" w:type="dxa"/>
            <w:shd w:val="clear" w:color="auto" w:fill="B8CCE4" w:themeFill="accent1" w:themeFillTint="66"/>
          </w:tcPr>
          <w:p w14:paraId="5DA8AA46" w14:textId="77777777" w:rsidR="00267F20" w:rsidRPr="00EB6D5A" w:rsidRDefault="00F3469F" w:rsidP="00267F2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pl-PL"/>
              </w:rPr>
              <w:t>02</w:t>
            </w:r>
            <w:r w:rsidR="00267F20" w:rsidRPr="00EB6D5A">
              <w:rPr>
                <w:rFonts w:cs="Calibri"/>
                <w:b/>
                <w:bCs/>
                <w:sz w:val="16"/>
                <w:szCs w:val="16"/>
                <w:lang w:val="pl-PL"/>
              </w:rPr>
              <w:t>.10.</w:t>
            </w:r>
          </w:p>
        </w:tc>
      </w:tr>
      <w:tr w:rsidR="0006194D" w:rsidRPr="00EB6D5A" w14:paraId="46F4EA7F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ED2B915" w14:textId="77777777" w:rsidR="0006194D" w:rsidRPr="00EB6D5A" w:rsidRDefault="0006194D" w:rsidP="00E0587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EB6D5A">
              <w:rPr>
                <w:rFonts w:cstheme="minorHAnsi"/>
                <w:sz w:val="16"/>
                <w:szCs w:val="16"/>
              </w:rPr>
              <w:t>1/2</w:t>
            </w:r>
            <w:r>
              <w:rPr>
                <w:rFonts w:cstheme="minorHAnsi"/>
                <w:sz w:val="16"/>
                <w:szCs w:val="16"/>
              </w:rPr>
              <w:t xml:space="preserve"> std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513391E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160*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D82E93F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23AFC51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BEE6E85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512958C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4FFDC4C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6B3318A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380647B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9BAB81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20F787D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68E1A5D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4966283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84E17D3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</w:tr>
      <w:tr w:rsidR="0006194D" w:rsidRPr="00EB6D5A" w14:paraId="340737A7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CD4D2BE" w14:textId="77777777" w:rsidR="0006194D" w:rsidRPr="00EB6D5A" w:rsidRDefault="0006194D" w:rsidP="0006194D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1/3 std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BA59D3D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135*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B8DFB50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0EEF0DA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99A84EE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7EA7EF8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A15D39A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26376D1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CD1E86C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BCE4F6C" w14:textId="77777777" w:rsidR="0006194D" w:rsidRPr="00EB6D5A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4C9DA6C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ECD2233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EA5C482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1870A218" w14:textId="77777777" w:rsidR="0006194D" w:rsidRPr="00EB6D5A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175</w:t>
            </w:r>
          </w:p>
        </w:tc>
      </w:tr>
      <w:tr w:rsidR="0006194D" w:rsidRPr="00EB6D5A" w14:paraId="38D402C8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3EEDFB5" w14:textId="77777777" w:rsidR="0006194D" w:rsidRPr="00EB6D5A" w:rsidRDefault="0006194D" w:rsidP="000619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1/3 app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E08D4A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150*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3D309D2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22CA07F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515EE7E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56B471E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F942097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0B320C4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2FCC5DC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63F6DC7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435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A63318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A6EDCE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A1D8F37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1B0C1024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200</w:t>
            </w:r>
          </w:p>
        </w:tc>
      </w:tr>
      <w:tr w:rsidR="0006194D" w:rsidRPr="00EB6D5A" w14:paraId="37EA0728" w14:textId="77777777" w:rsidTr="00390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87B73FF" w14:textId="77777777" w:rsidR="0006194D" w:rsidRPr="00EB6D5A" w:rsidRDefault="0006194D" w:rsidP="000619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1/4 app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31DC01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130*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75F5D57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08CBFEE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2ABC176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229A7F6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31D2A0D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0E2EDDB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CCBDB6F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3AE36FF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D80B046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CF74CE4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64D8A0B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67B578D9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</w:t>
            </w:r>
          </w:p>
        </w:tc>
      </w:tr>
      <w:tr w:rsidR="0006194D" w:rsidRPr="00EB6D5A" w14:paraId="34991257" w14:textId="77777777" w:rsidTr="00923A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82159B5" w14:textId="77777777" w:rsidR="0006194D" w:rsidRPr="00EB6D5A" w:rsidRDefault="0006194D" w:rsidP="000619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1/4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B35DE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140*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E599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EFA4C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521BA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BE0E5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F82A3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39211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74A8E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3DBCA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3A2B0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4F4AF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BA0A3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E5680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185</w:t>
            </w:r>
          </w:p>
        </w:tc>
      </w:tr>
      <w:tr w:rsidR="0006194D" w:rsidRPr="00EB6D5A" w14:paraId="2C7301B9" w14:textId="77777777" w:rsidTr="00923A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616307" w14:textId="77777777" w:rsidR="0006194D" w:rsidRDefault="0006194D" w:rsidP="000619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1/5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0F21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125*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26A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EC283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9005F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FFBC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DA4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B45B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C360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A1C2E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7F68A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E033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AFD17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C18E0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165</w:t>
            </w:r>
          </w:p>
        </w:tc>
      </w:tr>
      <w:tr w:rsidR="0006194D" w:rsidRPr="00EB6D5A" w14:paraId="4DA708AF" w14:textId="77777777" w:rsidTr="00923A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15E076" w14:textId="77777777" w:rsidR="0006194D" w:rsidRDefault="0006194D" w:rsidP="000619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1/6 </w:t>
            </w:r>
            <w:proofErr w:type="spellStart"/>
            <w:r>
              <w:rPr>
                <w:rFonts w:cstheme="minorHAnsi"/>
                <w:sz w:val="16"/>
                <w:szCs w:val="16"/>
              </w:rPr>
              <w:t>dplx</w:t>
            </w:r>
            <w:proofErr w:type="spellEnd"/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E8EF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115*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D90B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721A8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1FC0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B170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4E15D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69829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81B89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52AE9" w14:textId="77777777" w:rsidR="0006194D" w:rsidRDefault="0006194D" w:rsidP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2C2C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73D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2FEFB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CA5F1" w14:textId="77777777" w:rsidR="0006194D" w:rsidRDefault="0006194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150</w:t>
            </w:r>
          </w:p>
        </w:tc>
      </w:tr>
      <w:tr w:rsidR="00E43A29" w:rsidRPr="00EB6D5A" w14:paraId="6471C0BA" w14:textId="77777777" w:rsidTr="00E43A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04FE6A" w14:textId="77777777" w:rsidR="00E05879" w:rsidRDefault="00E43A29" w:rsidP="00CE2A70">
            <w:pPr>
              <w:spacing w:after="0" w:line="240" w:lineRule="auto"/>
              <w:jc w:val="both"/>
              <w:rPr>
                <w:rStyle w:val="Strong"/>
                <w:b/>
                <w:sz w:val="16"/>
                <w:szCs w:val="16"/>
                <w:lang w:val="pl-PL"/>
              </w:rPr>
            </w:pPr>
            <w:r w:rsidRPr="00E43A29">
              <w:rPr>
                <w:rStyle w:val="Strong"/>
                <w:b/>
                <w:sz w:val="16"/>
                <w:szCs w:val="16"/>
                <w:lang w:val="pl-PL"/>
              </w:rPr>
              <w:t xml:space="preserve">Deca od 0-6 god. na zajedničkom ležaju </w:t>
            </w:r>
            <w:r w:rsidR="00E05879">
              <w:rPr>
                <w:rStyle w:val="Strong"/>
                <w:b/>
                <w:sz w:val="16"/>
                <w:szCs w:val="16"/>
                <w:lang w:val="pl-PL"/>
              </w:rPr>
              <w:t>–</w:t>
            </w:r>
            <w:r w:rsidRPr="00E43A29">
              <w:rPr>
                <w:rStyle w:val="Strong"/>
                <w:b/>
                <w:sz w:val="16"/>
                <w:szCs w:val="16"/>
                <w:lang w:val="pl-PL"/>
              </w:rPr>
              <w:t xml:space="preserve"> gratis</w:t>
            </w:r>
          </w:p>
          <w:p w14:paraId="06A0DE03" w14:textId="77777777" w:rsidR="00957DED" w:rsidRPr="0064275A" w:rsidRDefault="0006194D" w:rsidP="00CE2A70">
            <w:pPr>
              <w:spacing w:after="0" w:line="240" w:lineRule="auto"/>
              <w:jc w:val="both"/>
              <w:rPr>
                <w:bCs w:val="0"/>
                <w:sz w:val="16"/>
                <w:szCs w:val="16"/>
                <w:lang w:val="pl-PL"/>
              </w:rPr>
            </w:pPr>
            <w:r>
              <w:rPr>
                <w:rStyle w:val="Strong"/>
                <w:b/>
                <w:sz w:val="16"/>
                <w:szCs w:val="16"/>
                <w:lang w:val="pl-PL"/>
              </w:rPr>
              <w:t xml:space="preserve">Klima uređaj uključen u cenu </w:t>
            </w:r>
          </w:p>
        </w:tc>
      </w:tr>
    </w:tbl>
    <w:p w14:paraId="7AFB7CC7" w14:textId="77777777" w:rsidR="00755507" w:rsidRPr="00952C4E" w:rsidRDefault="00755507" w:rsidP="003F2A42">
      <w:pPr>
        <w:pStyle w:val="NoSpacing"/>
        <w:jc w:val="both"/>
        <w:rPr>
          <w:rFonts w:eastAsia="Arial" w:cs="Calibri"/>
          <w:b/>
          <w:bCs/>
          <w:i/>
          <w:iCs/>
          <w:color w:val="0A2360"/>
          <w:sz w:val="16"/>
          <w:szCs w:val="16"/>
          <w:u w:val="single"/>
        </w:rPr>
      </w:pPr>
    </w:p>
    <w:p w14:paraId="1CEEDD00" w14:textId="77777777" w:rsidR="00755507" w:rsidRPr="00B57636" w:rsidRDefault="00D05200" w:rsidP="003F1D23">
      <w:pPr>
        <w:pStyle w:val="Default"/>
        <w:rPr>
          <w:sz w:val="20"/>
          <w:szCs w:val="20"/>
        </w:rPr>
      </w:pPr>
      <w:proofErr w:type="spellStart"/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Opisi</w:t>
      </w:r>
      <w:proofErr w:type="spellEnd"/>
      <w:r w:rsidR="003B1E55"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 xml:space="preserve"> </w:t>
      </w:r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vil</w:t>
      </w:r>
      <w:r w:rsidR="0006194D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e</w:t>
      </w:r>
      <w:r w:rsidRPr="00B57636">
        <w:rPr>
          <w:rFonts w:eastAsia="Arial"/>
          <w:b/>
          <w:bCs/>
          <w:i/>
          <w:iCs/>
          <w:color w:val="0A2360"/>
          <w:sz w:val="20"/>
          <w:szCs w:val="20"/>
          <w:u w:val="single"/>
        </w:rPr>
        <w:t>:</w:t>
      </w:r>
    </w:p>
    <w:p w14:paraId="12A10279" w14:textId="77777777" w:rsidR="00D80509" w:rsidRDefault="00F92582" w:rsidP="00D80509">
      <w:pPr>
        <w:pStyle w:val="NoSpacing"/>
        <w:jc w:val="both"/>
        <w:rPr>
          <w:rFonts w:cs="Calibri"/>
          <w:color w:val="002060"/>
          <w:sz w:val="18"/>
          <w:szCs w:val="18"/>
          <w:lang w:val="pl-PL"/>
        </w:rPr>
      </w:pPr>
      <w:r w:rsidRPr="00F92582">
        <w:rPr>
          <w:rFonts w:asciiTheme="minorHAnsi" w:hAnsiTheme="minorHAnsi" w:cstheme="minorHAnsi"/>
          <w:b/>
          <w:i/>
          <w:color w:val="002060"/>
          <w:sz w:val="18"/>
          <w:szCs w:val="18"/>
          <w:u w:val="single"/>
          <w:shd w:val="clear" w:color="auto" w:fill="FFFFFF"/>
        </w:rPr>
        <w:t>Vila A</w:t>
      </w:r>
      <w:r w:rsidR="00C96BD4">
        <w:rPr>
          <w:rFonts w:asciiTheme="minorHAnsi" w:hAnsiTheme="minorHAnsi" w:cstheme="minorHAnsi"/>
          <w:b/>
          <w:i/>
          <w:color w:val="002060"/>
          <w:sz w:val="18"/>
          <w:szCs w:val="18"/>
          <w:u w:val="single"/>
          <w:shd w:val="clear" w:color="auto" w:fill="FFFFFF"/>
        </w:rPr>
        <w:t>nđela</w:t>
      </w:r>
      <w:r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Nalazi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se u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mirnom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delu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Nea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Plaje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na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oko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80m od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uređene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plaže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Raspolaže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dvokrevetnim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trokrevetnim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studijima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trokrevetnim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četvorokrevetnim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apartmanima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četvorokrevetnim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petokrevetnim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šestokrevetnim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duplexima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Studiji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apartmani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se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nalaze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na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prvom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spratu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. Neki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studiji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imaju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direktni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bočni</w:t>
      </w:r>
      <w:proofErr w:type="spellEnd"/>
      <w:r w:rsid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pogled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na</w:t>
      </w:r>
      <w:proofErr w:type="spellEnd"/>
      <w:r w:rsidR="0006194D" w:rsidRPr="00D80509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more</w:t>
      </w:r>
      <w:r w:rsidR="00D80509" w:rsidRPr="00D80509">
        <w:rPr>
          <w:rFonts w:cs="Calibri"/>
          <w:color w:val="002060"/>
          <w:sz w:val="18"/>
          <w:szCs w:val="18"/>
          <w:lang w:val="pl-PL"/>
        </w:rPr>
        <w:t xml:space="preserve"> </w:t>
      </w:r>
      <w:r>
        <w:rPr>
          <w:rFonts w:cs="Calibri"/>
          <w:color w:val="002060"/>
          <w:sz w:val="18"/>
          <w:szCs w:val="18"/>
          <w:lang w:val="pl-PL"/>
        </w:rPr>
        <w:t>s</w:t>
      </w:r>
      <w:r w:rsidR="00D80509">
        <w:rPr>
          <w:rFonts w:cs="Calibri"/>
          <w:color w:val="002060"/>
          <w:sz w:val="18"/>
          <w:szCs w:val="18"/>
          <w:lang w:val="pl-PL"/>
        </w:rPr>
        <w:t xml:space="preserve">ve smeštajne jedinice su opremljene kuhinjom (rešo sa dva grejna </w:t>
      </w:r>
      <w:proofErr w:type="gramStart"/>
      <w:r w:rsidR="00D80509">
        <w:rPr>
          <w:rFonts w:cs="Calibri"/>
          <w:color w:val="002060"/>
          <w:sz w:val="18"/>
          <w:szCs w:val="18"/>
          <w:lang w:val="pl-PL"/>
        </w:rPr>
        <w:t>polja,</w:t>
      </w:r>
      <w:r>
        <w:rPr>
          <w:rFonts w:cs="Calibri"/>
          <w:color w:val="002060"/>
          <w:sz w:val="18"/>
          <w:szCs w:val="18"/>
          <w:lang w:val="pl-PL"/>
        </w:rPr>
        <w:t>u</w:t>
      </w:r>
      <w:proofErr w:type="gramEnd"/>
      <w:r>
        <w:rPr>
          <w:rFonts w:cs="Calibri"/>
          <w:color w:val="002060"/>
          <w:sz w:val="18"/>
          <w:szCs w:val="18"/>
          <w:lang w:val="pl-PL"/>
        </w:rPr>
        <w:t xml:space="preserve"> duplexu sporet sa rernom,</w:t>
      </w:r>
      <w:r w:rsidR="00D80509">
        <w:rPr>
          <w:rFonts w:cs="Calibri"/>
          <w:color w:val="002060"/>
          <w:sz w:val="18"/>
          <w:szCs w:val="18"/>
          <w:lang w:val="pl-PL"/>
        </w:rPr>
        <w:t xml:space="preserve"> frižider), kupatilom, klima-uređajem (korišćenje uračunato u cenu) i TV-om. Vila ne poseduje peškire. Internet u vilama nije namenjen profesionalnoj upotrebi, a jačina signala, brzina i kvalitet protoka i povezivanja kao i stabilnost mreže zavise isključivo od provajdera, tehničkih mogućnosti u samom letovalištu i regiji i drugih faktora. Vila nema parking.</w:t>
      </w:r>
    </w:p>
    <w:p w14:paraId="45E89BA5" w14:textId="77777777" w:rsidR="00957DED" w:rsidRDefault="00957DED" w:rsidP="00957DED">
      <w:pPr>
        <w:pStyle w:val="NoSpacing"/>
        <w:tabs>
          <w:tab w:val="left" w:pos="0"/>
          <w:tab w:val="left" w:pos="10170"/>
        </w:tabs>
        <w:contextualSpacing/>
        <w:jc w:val="both"/>
        <w:rPr>
          <w:rStyle w:val="Strong"/>
          <w:rFonts w:cs="Calibri"/>
          <w:color w:val="002060"/>
          <w:sz w:val="21"/>
          <w:szCs w:val="21"/>
          <w:lang w:val="pl-PL"/>
        </w:rPr>
      </w:pPr>
      <w:r>
        <w:rPr>
          <w:rStyle w:val="Strong"/>
          <w:rFonts w:cs="Calibri"/>
          <w:color w:val="002060"/>
          <w:sz w:val="21"/>
          <w:szCs w:val="21"/>
          <w:lang w:val="pl-PL"/>
        </w:rPr>
        <w:t>PROGRAM PUTOVANJA:</w:t>
      </w:r>
    </w:p>
    <w:p w14:paraId="07A7F1EB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shd w:val="clear" w:color="auto" w:fill="FFFFFF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Okupljanje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glavnoj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stanici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Beogradu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Antifašističke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borbe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46-48 NOVI BEOGRAD) 30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minuta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predviđenog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autobusa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tačno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mesto -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broj</w:t>
      </w:r>
      <w:proofErr w:type="spellEnd"/>
      <w:r w:rsidRPr="00786C3E">
        <w:rPr>
          <w:rFonts w:ascii="Calibri" w:hAnsi="Calibri" w:cs="Calibri"/>
          <w:b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b/>
          <w:color w:val="002060"/>
          <w:sz w:val="18"/>
          <w:szCs w:val="18"/>
        </w:rPr>
        <w:t>perona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vreme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biće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potvrđeno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od 48h do 24h pre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</w:rPr>
        <w:t>).</w:t>
      </w:r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Putovanje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>prema</w:t>
      </w:r>
      <w:proofErr w:type="spellEnd"/>
      <w:r w:rsidRPr="00786C3E">
        <w:rPr>
          <w:rFonts w:ascii="Calibri" w:hAnsi="Calibri" w:cs="Calibri"/>
          <w:color w:val="00008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preko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Severne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Makedonije</w:t>
      </w:r>
      <w:proofErr w:type="spellEnd"/>
      <w:proofErr w:type="gram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sa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usputnim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pauzama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radi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odmora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obavljanja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graničnih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formalnosti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Noćna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vožnja</w:t>
      </w:r>
      <w:proofErr w:type="spellEnd"/>
      <w:r w:rsidRPr="00786C3E">
        <w:rPr>
          <w:rFonts w:ascii="Calibri" w:hAnsi="Calibri" w:cs="Calibri"/>
          <w:color w:val="002060"/>
          <w:sz w:val="18"/>
          <w:szCs w:val="18"/>
          <w:shd w:val="clear" w:color="auto" w:fill="FFFFFF"/>
        </w:rPr>
        <w:t>.   </w:t>
      </w:r>
    </w:p>
    <w:p w14:paraId="50F88A34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lastRenderedPageBreak/>
        <w:t>2. dan:</w:t>
      </w:r>
      <w:r>
        <w:rPr>
          <w:rFonts w:ascii="Calibri" w:hAnsi="Calibri" w:cs="Calibri"/>
          <w:color w:val="002060"/>
          <w:sz w:val="18"/>
          <w:szCs w:val="18"/>
          <w:lang w:val="pl-PL"/>
        </w:rPr>
        <w:t xml:space="preserve"> Dolazak na Halkidiki - Kassandru 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 xml:space="preserve">u prepodnevnim satima. Smeštaj u izabrani objekat (ulaz u studije / apartmane najranije od 14:00h). </w:t>
      </w:r>
      <w:r w:rsidRPr="00D80509">
        <w:rPr>
          <w:rFonts w:ascii="Calibri" w:hAnsi="Calibri" w:cs="Calibri"/>
          <w:color w:val="002060"/>
          <w:sz w:val="18"/>
          <w:szCs w:val="18"/>
          <w:lang w:val="pl-PL"/>
        </w:rPr>
        <w:t>N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oćenje.</w:t>
      </w:r>
    </w:p>
    <w:p w14:paraId="69DAD1D1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3 - 11.dan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 xml:space="preserve">: Boravak u izabranom studiju / apartmanu. Noćenje. </w:t>
      </w:r>
    </w:p>
    <w:p w14:paraId="0AB03278" w14:textId="77777777" w:rsidR="00957DED" w:rsidRPr="00786C3E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12.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Napuštanje studija / apartmana najkasnije do 09:00h. Slobodno vreme do polaska. Polazak za Srbiju u poslepodnevnim časovima po lokalnom vremenu (za tačno vreme povratka informisati se kod predstavnika agencije).    </w:t>
      </w:r>
    </w:p>
    <w:p w14:paraId="248CDC85" w14:textId="77777777" w:rsidR="00957DED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Fonts w:ascii="Calibri" w:hAnsi="Calibri" w:cs="Calibri"/>
          <w:color w:val="002060"/>
          <w:sz w:val="18"/>
          <w:szCs w:val="18"/>
          <w:lang w:val="pl-PL"/>
        </w:rPr>
      </w:pPr>
      <w:r w:rsidRPr="00786C3E">
        <w:rPr>
          <w:rFonts w:ascii="Calibri" w:hAnsi="Calibri" w:cs="Calibri"/>
          <w:b/>
          <w:color w:val="002060"/>
          <w:sz w:val="18"/>
          <w:szCs w:val="18"/>
          <w:lang w:val="pl-PL"/>
        </w:rPr>
        <w:t>13. dan:</w:t>
      </w:r>
      <w:r w:rsidRPr="00786C3E">
        <w:rPr>
          <w:rFonts w:ascii="Calibri" w:hAnsi="Calibri" w:cs="Calibri"/>
          <w:color w:val="002060"/>
          <w:sz w:val="18"/>
          <w:szCs w:val="18"/>
          <w:lang w:val="pl-PL"/>
        </w:rPr>
        <w:t> Dolazak u Beograd u ranim jutarnjim satima. Kraj usluge.</w:t>
      </w:r>
    </w:p>
    <w:p w14:paraId="4AF49343" w14:textId="77777777" w:rsidR="00957DED" w:rsidRPr="00C64A06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both"/>
        <w:rPr>
          <w:rStyle w:val="15"/>
          <w:b w:val="0"/>
          <w:bCs w:val="0"/>
          <w:color w:val="002060"/>
          <w:sz w:val="18"/>
          <w:szCs w:val="18"/>
          <w:lang w:val="pl-PL"/>
        </w:rPr>
      </w:pPr>
    </w:p>
    <w:p w14:paraId="23C24CFB" w14:textId="77777777" w:rsidR="00957DED" w:rsidRPr="000A6187" w:rsidRDefault="00957DED" w:rsidP="00957DED">
      <w:pPr>
        <w:pStyle w:val="NoSpacing"/>
        <w:contextualSpacing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PAKET ARANŽMANA OBUHVATA:</w:t>
      </w:r>
    </w:p>
    <w:p w14:paraId="700FF247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turističkim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color w:val="002060"/>
          <w:sz w:val="18"/>
          <w:szCs w:val="18"/>
        </w:rPr>
        <w:t>visokopodni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dabldeker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audio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video </w:t>
      </w:r>
      <w:proofErr w:type="spellStart"/>
      <w:r w:rsidRPr="000A6187">
        <w:rPr>
          <w:rFonts w:cs="Calibri"/>
          <w:color w:val="002060"/>
          <w:sz w:val="18"/>
          <w:szCs w:val="18"/>
        </w:rPr>
        <w:t>opremljenost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wi-fi)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relaciji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gramStart"/>
      <w:r w:rsidRPr="000A6187">
        <w:rPr>
          <w:rFonts w:cs="Calibri"/>
          <w:color w:val="002060"/>
          <w:sz w:val="18"/>
          <w:szCs w:val="18"/>
        </w:rPr>
        <w:t xml:space="preserve">Beograd </w:t>
      </w:r>
      <w:r>
        <w:rPr>
          <w:rFonts w:cs="Calibri"/>
          <w:color w:val="002060"/>
          <w:sz w:val="18"/>
          <w:szCs w:val="18"/>
        </w:rPr>
        <w:t xml:space="preserve"> </w:t>
      </w:r>
      <w:r w:rsidRPr="000A6187">
        <w:rPr>
          <w:rFonts w:cs="Calibri"/>
          <w:color w:val="002060"/>
          <w:sz w:val="18"/>
          <w:szCs w:val="18"/>
        </w:rPr>
        <w:t>–</w:t>
      </w:r>
      <w:proofErr w:type="gram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Halkidiki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r w:rsidRPr="000A6187">
        <w:rPr>
          <w:rFonts w:cs="Calibri"/>
          <w:color w:val="002060"/>
          <w:sz w:val="18"/>
          <w:szCs w:val="18"/>
        </w:rPr>
        <w:t xml:space="preserve"> </w:t>
      </w:r>
      <w:r>
        <w:rPr>
          <w:rFonts w:cs="Calibri"/>
          <w:color w:val="002060"/>
          <w:sz w:val="18"/>
          <w:szCs w:val="18"/>
        </w:rPr>
        <w:t xml:space="preserve"> </w:t>
      </w:r>
      <w:proofErr w:type="gramStart"/>
      <w:r w:rsidRPr="000A6187">
        <w:rPr>
          <w:rFonts w:cs="Calibri"/>
          <w:color w:val="002060"/>
          <w:sz w:val="18"/>
          <w:szCs w:val="18"/>
        </w:rPr>
        <w:t xml:space="preserve">– </w:t>
      </w:r>
      <w:r>
        <w:rPr>
          <w:rFonts w:cs="Calibri"/>
          <w:color w:val="002060"/>
          <w:sz w:val="18"/>
          <w:szCs w:val="18"/>
        </w:rPr>
        <w:t xml:space="preserve"> </w:t>
      </w:r>
      <w:r w:rsidRPr="000A6187">
        <w:rPr>
          <w:rFonts w:cs="Calibri"/>
          <w:color w:val="002060"/>
          <w:sz w:val="18"/>
          <w:szCs w:val="18"/>
        </w:rPr>
        <w:t>Beograd</w:t>
      </w:r>
      <w:proofErr w:type="gramEnd"/>
      <w:r w:rsidRPr="000A6187">
        <w:rPr>
          <w:rFonts w:cs="Calibri"/>
          <w:color w:val="002060"/>
          <w:sz w:val="18"/>
          <w:szCs w:val="18"/>
        </w:rPr>
        <w:t>;</w:t>
      </w:r>
    </w:p>
    <w:p w14:paraId="2ECE775E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bazi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(10 </w:t>
      </w:r>
      <w:proofErr w:type="spellStart"/>
      <w:r w:rsidRPr="000A6187">
        <w:rPr>
          <w:rFonts w:cs="Calibri"/>
          <w:color w:val="002060"/>
          <w:sz w:val="18"/>
          <w:szCs w:val="18"/>
        </w:rPr>
        <w:t>noćenja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cs="Calibri"/>
          <w:color w:val="002060"/>
          <w:sz w:val="18"/>
          <w:szCs w:val="18"/>
        </w:rPr>
        <w:t>izabranom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studijima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/ </w:t>
      </w:r>
      <w:proofErr w:type="spellStart"/>
      <w:r w:rsidRPr="000A6187">
        <w:rPr>
          <w:rFonts w:cs="Calibri"/>
          <w:color w:val="002060"/>
          <w:sz w:val="18"/>
          <w:szCs w:val="18"/>
        </w:rPr>
        <w:t>apartmanima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41C62871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inopartnera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tokom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; </w:t>
      </w:r>
    </w:p>
    <w:p w14:paraId="6A0A41FA" w14:textId="77777777" w:rsidR="00957DED" w:rsidRPr="000A6187" w:rsidRDefault="00957DED" w:rsidP="00957DED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-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vođstva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– </w:t>
      </w:r>
      <w:proofErr w:type="spellStart"/>
      <w:r w:rsidRPr="000A6187">
        <w:rPr>
          <w:rFonts w:cs="Calibri"/>
          <w:color w:val="002060"/>
          <w:sz w:val="18"/>
          <w:szCs w:val="18"/>
        </w:rPr>
        <w:t>uslugu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licenciranog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vodič</w:t>
      </w:r>
      <w:r>
        <w:rPr>
          <w:rFonts w:cs="Calibri"/>
          <w:color w:val="002060"/>
          <w:sz w:val="18"/>
          <w:szCs w:val="18"/>
        </w:rPr>
        <w:t>a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ili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pratioca</w:t>
      </w:r>
      <w:proofErr w:type="spellEnd"/>
      <w:r>
        <w:rPr>
          <w:rFonts w:cs="Calibri"/>
          <w:color w:val="002060"/>
          <w:sz w:val="18"/>
          <w:szCs w:val="18"/>
        </w:rPr>
        <w:t xml:space="preserve"> u </w:t>
      </w:r>
      <w:proofErr w:type="spellStart"/>
      <w:r>
        <w:rPr>
          <w:rFonts w:cs="Calibri"/>
          <w:color w:val="002060"/>
          <w:sz w:val="18"/>
          <w:szCs w:val="18"/>
        </w:rPr>
        <w:t>toku</w:t>
      </w:r>
      <w:proofErr w:type="spellEnd"/>
      <w:r>
        <w:rPr>
          <w:rFonts w:cs="Calibri"/>
          <w:color w:val="002060"/>
          <w:sz w:val="18"/>
          <w:szCs w:val="18"/>
        </w:rPr>
        <w:t xml:space="preserve"> </w:t>
      </w:r>
      <w:proofErr w:type="spellStart"/>
      <w:r>
        <w:rPr>
          <w:rFonts w:cs="Calibri"/>
          <w:color w:val="002060"/>
          <w:sz w:val="18"/>
          <w:szCs w:val="18"/>
        </w:rPr>
        <w:t>putovanja</w:t>
      </w:r>
      <w:proofErr w:type="spellEnd"/>
    </w:p>
    <w:p w14:paraId="2692063D" w14:textId="77777777" w:rsidR="00957DED" w:rsidRPr="000A6187" w:rsidRDefault="00957DED" w:rsidP="00957DED">
      <w:pPr>
        <w:pStyle w:val="NoSpacing"/>
        <w:contextualSpacing/>
        <w:rPr>
          <w:rFonts w:cs="Calibri"/>
          <w:b/>
          <w:bCs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>CENA ARANŽMANA NE OBUHVATA:</w:t>
      </w:r>
    </w:p>
    <w:p w14:paraId="4B0613A6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b/>
          <w:bCs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(BAS) NAPOMENA: Svi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polasci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organizaciji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HEDONIC TRAVEL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odvijaju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glavne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autobuske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stanice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Beogradu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(BAS-a). Za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ulazak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odakle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polaze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autobusi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neophodno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Peronsku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moguće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kupiti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turističkoj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150,00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0-2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plaćaju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stanični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vaučer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direktno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šalterima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BAS-a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ceni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od 300,00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dinara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r w:rsidRPr="000A6187">
        <w:rPr>
          <w:rFonts w:cs="Calibri"/>
          <w:b/>
          <w:bCs/>
          <w:color w:val="002060"/>
          <w:sz w:val="18"/>
          <w:szCs w:val="18"/>
        </w:rPr>
        <w:t>(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usled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promena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monetarnom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tržištu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može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doći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korekcije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staničnog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bCs/>
          <w:color w:val="002060"/>
          <w:sz w:val="18"/>
          <w:szCs w:val="18"/>
        </w:rPr>
        <w:t>vaučera</w:t>
      </w:r>
      <w:proofErr w:type="spellEnd"/>
      <w:r w:rsidRPr="000A6187">
        <w:rPr>
          <w:rFonts w:cs="Calibri"/>
          <w:b/>
          <w:bCs/>
          <w:color w:val="002060"/>
          <w:sz w:val="18"/>
          <w:szCs w:val="18"/>
        </w:rPr>
        <w:t>)</w:t>
      </w:r>
    </w:p>
    <w:p w14:paraId="432C97B4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Climate resilience fee,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tzv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Klimatska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taksa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licu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vlasniku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vile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predstavniku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partnera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 od 2 € do 5 €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(u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zavisnosti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lokalne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kategorizacije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smeštajnog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objekta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) po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smeštajnoj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jedinici</w:t>
      </w:r>
      <w:proofErr w:type="spellEnd"/>
      <w:r w:rsidRPr="000A6187">
        <w:rPr>
          <w:rFonts w:cs="Calibri"/>
          <w:color w:val="002060"/>
          <w:sz w:val="18"/>
          <w:szCs w:val="18"/>
          <w:shd w:val="clear" w:color="auto" w:fill="FFFFFF"/>
        </w:rPr>
        <w:t>,</w:t>
      </w:r>
    </w:p>
    <w:p w14:paraId="20C4AA69" w14:textId="77777777" w:rsidR="00957DED" w:rsidRPr="000A6187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Međunarodnoputno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zdravstveno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osiguranje</w:t>
      </w:r>
      <w:proofErr w:type="spellEnd"/>
      <w:r w:rsidRPr="000A6187">
        <w:rPr>
          <w:rFonts w:cs="Calibri"/>
          <w:color w:val="002060"/>
          <w:sz w:val="18"/>
          <w:szCs w:val="18"/>
        </w:rPr>
        <w:t>;</w:t>
      </w:r>
    </w:p>
    <w:p w14:paraId="33CA45B4" w14:textId="77777777" w:rsidR="00957DED" w:rsidRPr="0049103D" w:rsidRDefault="00957DED" w:rsidP="00957DED">
      <w:pPr>
        <w:pStyle w:val="NoSpacing"/>
        <w:numPr>
          <w:ilvl w:val="0"/>
          <w:numId w:val="20"/>
        </w:numPr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individualne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ostale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usluge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nisu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pomenute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programom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naprave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toku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vili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  <w:r w:rsidRPr="000A6187">
        <w:rPr>
          <w:rFonts w:cs="Calibri"/>
          <w:b/>
          <w:color w:val="002060"/>
          <w:sz w:val="21"/>
          <w:szCs w:val="21"/>
        </w:rPr>
        <w:br/>
      </w:r>
    </w:p>
    <w:p w14:paraId="71E0CFC6" w14:textId="77777777" w:rsidR="00957DED" w:rsidRPr="000A6187" w:rsidRDefault="00957DED" w:rsidP="00957DED">
      <w:pPr>
        <w:pStyle w:val="NoSpacing"/>
        <w:contextualSpacing/>
        <w:rPr>
          <w:rFonts w:cs="Calibri"/>
          <w:color w:val="002060"/>
          <w:sz w:val="18"/>
          <w:szCs w:val="18"/>
        </w:rPr>
      </w:pPr>
      <w:r w:rsidRPr="000A6187">
        <w:rPr>
          <w:rFonts w:cs="Calibri"/>
          <w:b/>
          <w:color w:val="002060"/>
          <w:sz w:val="21"/>
          <w:szCs w:val="21"/>
        </w:rPr>
        <w:t>POPUSTI I DOPLATE:</w:t>
      </w:r>
    </w:p>
    <w:p w14:paraId="588FC069" w14:textId="77777777" w:rsidR="00957DED" w:rsidRPr="000A6187" w:rsidRDefault="00957DED" w:rsidP="00957DED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Spajanje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1DD56220" w14:textId="27C9324B" w:rsidR="00957DED" w:rsidRPr="000A6187" w:rsidRDefault="00957DED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AA3446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ukupnu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smenama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označenim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</w:p>
    <w:p w14:paraId="1E222145" w14:textId="62DC80EB" w:rsidR="00957DED" w:rsidRPr="000A6187" w:rsidRDefault="00957DED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u </w:t>
      </w:r>
      <w:proofErr w:type="spellStart"/>
      <w:r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cs="Calibri"/>
          <w:color w:val="002060"/>
          <w:sz w:val="18"/>
          <w:szCs w:val="18"/>
        </w:rPr>
        <w:t>kojih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zvezdicom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cs="Calibri"/>
          <w:color w:val="002060"/>
          <w:sz w:val="18"/>
          <w:szCs w:val="18"/>
        </w:rPr>
        <w:t>druga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bez, </w:t>
      </w:r>
      <w:proofErr w:type="spellStart"/>
      <w:r w:rsidRPr="000A6187">
        <w:rPr>
          <w:rFonts w:cs="Calibri"/>
          <w:color w:val="002060"/>
          <w:sz w:val="18"/>
          <w:szCs w:val="18"/>
        </w:rPr>
        <w:t>cena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II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AA3446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>0€</w:t>
      </w:r>
    </w:p>
    <w:p w14:paraId="1E631E06" w14:textId="18765930" w:rsidR="00957DED" w:rsidRPr="000A6187" w:rsidRDefault="00AA3446" w:rsidP="00957DED">
      <w:pPr>
        <w:pStyle w:val="NoSpacing"/>
        <w:numPr>
          <w:ilvl w:val="0"/>
          <w:numId w:val="16"/>
        </w:numPr>
        <w:contextualSpacing/>
        <w:rPr>
          <w:rFonts w:cs="Calibri"/>
          <w:b/>
          <w:i/>
          <w:color w:val="002060"/>
          <w:sz w:val="18"/>
          <w:szCs w:val="18"/>
        </w:rPr>
      </w:pPr>
      <w:r>
        <w:rPr>
          <w:rFonts w:cs="Calibri"/>
          <w:color w:val="002060"/>
          <w:sz w:val="18"/>
          <w:szCs w:val="18"/>
        </w:rPr>
        <w:t>u</w:t>
      </w:r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slučaju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spajanja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putnike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koriste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sopstveni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nema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umanjenja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spajanje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smena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već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ostvaruje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napred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navedeno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umanjenje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korišćenje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sopstvenog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="00957DED" w:rsidRPr="000A6187">
        <w:rPr>
          <w:rFonts w:cs="Calibri"/>
          <w:color w:val="002060"/>
          <w:sz w:val="18"/>
          <w:szCs w:val="18"/>
        </w:rPr>
        <w:t>prevoza</w:t>
      </w:r>
      <w:proofErr w:type="spellEnd"/>
      <w:r w:rsidR="00957DED" w:rsidRPr="000A6187">
        <w:rPr>
          <w:rFonts w:cs="Calibri"/>
          <w:color w:val="002060"/>
          <w:sz w:val="18"/>
          <w:szCs w:val="18"/>
        </w:rPr>
        <w:t>.</w:t>
      </w:r>
    </w:p>
    <w:p w14:paraId="5B838A5E" w14:textId="77777777" w:rsidR="00957DED" w:rsidRPr="000A6187" w:rsidRDefault="00957DED" w:rsidP="00957DED">
      <w:pPr>
        <w:pStyle w:val="NoSpacing"/>
        <w:contextualSpacing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Jedna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u 1/2 std: </w:t>
      </w:r>
    </w:p>
    <w:p w14:paraId="60602F35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1/1 studio 70%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putnik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mesto u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važi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64FFF625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b/>
          <w:i/>
          <w:color w:val="002060"/>
          <w:sz w:val="18"/>
          <w:szCs w:val="18"/>
        </w:rPr>
        <w:t xml:space="preserve">Dete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kao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dodatna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osoba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4A92C6E0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Prvo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6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starosti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prevoz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zajednički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</w:t>
      </w:r>
      <w:proofErr w:type="spellEnd"/>
    </w:p>
    <w:p w14:paraId="7BE46C9E" w14:textId="77777777" w:rsidR="00957DED" w:rsidRPr="000A6187" w:rsidRDefault="00957DED" w:rsidP="00957DED">
      <w:pPr>
        <w:pStyle w:val="NoSpacing"/>
        <w:numPr>
          <w:ilvl w:val="0"/>
          <w:numId w:val="17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Navedeni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važe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dete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pratnji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minimum </w:t>
      </w:r>
      <w:proofErr w:type="spellStart"/>
      <w:r w:rsidRPr="000A6187">
        <w:rPr>
          <w:rFonts w:cs="Calibri"/>
          <w:color w:val="002060"/>
          <w:sz w:val="18"/>
          <w:szCs w:val="18"/>
        </w:rPr>
        <w:t>dve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punoplative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osobe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Dete od 2 do 12 </w:t>
      </w:r>
      <w:proofErr w:type="gramStart"/>
      <w:r w:rsidRPr="000A6187">
        <w:rPr>
          <w:rFonts w:cs="Calibri"/>
          <w:color w:val="002060"/>
          <w:sz w:val="18"/>
          <w:szCs w:val="18"/>
        </w:rPr>
        <w:t>god</w:t>
      </w:r>
      <w:proofErr w:type="gramEnd"/>
      <w:r w:rsidRPr="000A6187">
        <w:rPr>
          <w:rFonts w:cs="Calibri"/>
          <w:color w:val="002060"/>
          <w:sz w:val="18"/>
          <w:szCs w:val="18"/>
        </w:rPr>
        <w:t xml:space="preserve">. Na </w:t>
      </w:r>
      <w:proofErr w:type="spellStart"/>
      <w:r w:rsidRPr="000A6187">
        <w:rPr>
          <w:rFonts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umanjenu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20€.          </w:t>
      </w:r>
    </w:p>
    <w:p w14:paraId="0527E329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Pomoćni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ležaj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664255D0" w14:textId="77777777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Dete od 6 do 12 </w:t>
      </w:r>
      <w:proofErr w:type="spellStart"/>
      <w:r w:rsidRPr="000A6187">
        <w:rPr>
          <w:rFonts w:cs="Calibri"/>
          <w:color w:val="002060"/>
          <w:sz w:val="18"/>
          <w:szCs w:val="18"/>
        </w:rPr>
        <w:t>godina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1/2+1 </w:t>
      </w:r>
      <w:proofErr w:type="spellStart"/>
      <w:r w:rsidRPr="000A6187">
        <w:rPr>
          <w:rFonts w:cs="Calibri"/>
          <w:color w:val="002060"/>
          <w:sz w:val="18"/>
          <w:szCs w:val="18"/>
        </w:rPr>
        <w:t>studiju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pomoćnom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ležaju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plaća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70€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</w:p>
    <w:p w14:paraId="19E2F610" w14:textId="77777777" w:rsidR="00957DED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</w:p>
    <w:p w14:paraId="33069410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i/>
          <w:color w:val="002060"/>
          <w:sz w:val="18"/>
          <w:szCs w:val="18"/>
        </w:rPr>
        <w:t>uređaje</w:t>
      </w:r>
      <w:proofErr w:type="spellEnd"/>
      <w:r w:rsidRPr="000A6187">
        <w:rPr>
          <w:rFonts w:cs="Calibri"/>
          <w:b/>
          <w:i/>
          <w:color w:val="002060"/>
          <w:sz w:val="18"/>
          <w:szCs w:val="18"/>
        </w:rPr>
        <w:t>:</w:t>
      </w:r>
    </w:p>
    <w:p w14:paraId="1E6AF1E5" w14:textId="77777777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Fonts w:cs="Calibri"/>
          <w:b/>
          <w:i/>
          <w:color w:val="002060"/>
          <w:sz w:val="18"/>
          <w:szCs w:val="18"/>
        </w:rPr>
      </w:pPr>
      <w:r w:rsidRPr="000A6187">
        <w:rPr>
          <w:rFonts w:cs="Calibri"/>
          <w:color w:val="002060"/>
          <w:sz w:val="18"/>
          <w:szCs w:val="18"/>
        </w:rPr>
        <w:t xml:space="preserve">Klima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nekih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vila</w:t>
      </w:r>
      <w:proofErr w:type="spellEnd"/>
    </w:p>
    <w:p w14:paraId="07CEADFE" w14:textId="77777777" w:rsidR="00957DED" w:rsidRPr="000A6187" w:rsidRDefault="00957DED" w:rsidP="00957DED">
      <w:pPr>
        <w:pStyle w:val="NoSpacing"/>
        <w:numPr>
          <w:ilvl w:val="0"/>
          <w:numId w:val="18"/>
        </w:numPr>
        <w:contextualSpacing/>
        <w:jc w:val="both"/>
        <w:rPr>
          <w:rStyle w:val="15"/>
          <w:bCs w:val="0"/>
          <w:i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Doplata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klima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uređaja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cs="Calibri"/>
          <w:color w:val="002060"/>
          <w:sz w:val="18"/>
          <w:szCs w:val="18"/>
        </w:rPr>
        <w:t>tamo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gde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uključen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- od 5</w:t>
      </w:r>
      <w:proofErr w:type="gramStart"/>
      <w:r w:rsidRPr="000A6187">
        <w:rPr>
          <w:rFonts w:cs="Calibri"/>
          <w:color w:val="002060"/>
          <w:sz w:val="18"/>
          <w:szCs w:val="18"/>
        </w:rPr>
        <w:t>€  do</w:t>
      </w:r>
      <w:proofErr w:type="gramEnd"/>
      <w:r w:rsidRPr="000A6187">
        <w:rPr>
          <w:rFonts w:cs="Calibri"/>
          <w:color w:val="002060"/>
          <w:sz w:val="18"/>
          <w:szCs w:val="18"/>
        </w:rPr>
        <w:t xml:space="preserve"> 10€ </w:t>
      </w:r>
      <w:proofErr w:type="spellStart"/>
      <w:r w:rsidRPr="000A6187">
        <w:rPr>
          <w:rFonts w:cs="Calibri"/>
          <w:color w:val="002060"/>
          <w:sz w:val="18"/>
          <w:szCs w:val="18"/>
        </w:rPr>
        <w:t>dnevno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istaknuto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cenovnicima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pojedinačno</w:t>
      </w:r>
      <w:proofErr w:type="spellEnd"/>
      <w:r>
        <w:rPr>
          <w:rFonts w:cs="Calibri"/>
          <w:color w:val="002060"/>
          <w:sz w:val="18"/>
          <w:szCs w:val="18"/>
        </w:rPr>
        <w:t xml:space="preserve"> - </w:t>
      </w:r>
      <w:proofErr w:type="spellStart"/>
      <w:r w:rsidRPr="0075003A">
        <w:rPr>
          <w:color w:val="002060"/>
          <w:sz w:val="18"/>
          <w:szCs w:val="18"/>
        </w:rPr>
        <w:t>podložno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promeni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zavisno</w:t>
      </w:r>
      <w:proofErr w:type="spellEnd"/>
      <w:r w:rsidRPr="0075003A">
        <w:rPr>
          <w:color w:val="002060"/>
          <w:sz w:val="18"/>
          <w:szCs w:val="18"/>
        </w:rPr>
        <w:t xml:space="preserve"> od </w:t>
      </w:r>
      <w:proofErr w:type="spellStart"/>
      <w:r w:rsidRPr="0075003A">
        <w:rPr>
          <w:color w:val="002060"/>
          <w:sz w:val="18"/>
          <w:szCs w:val="18"/>
        </w:rPr>
        <w:t>uslova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na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monetarnom</w:t>
      </w:r>
      <w:proofErr w:type="spellEnd"/>
      <w:r w:rsidRPr="0075003A">
        <w:rPr>
          <w:color w:val="002060"/>
          <w:sz w:val="18"/>
          <w:szCs w:val="18"/>
        </w:rPr>
        <w:t xml:space="preserve"> </w:t>
      </w:r>
      <w:proofErr w:type="spellStart"/>
      <w:r w:rsidRPr="0075003A">
        <w:rPr>
          <w:color w:val="002060"/>
          <w:sz w:val="18"/>
          <w:szCs w:val="18"/>
        </w:rPr>
        <w:t>tržištu</w:t>
      </w:r>
      <w:proofErr w:type="spellEnd"/>
      <w:r>
        <w:rPr>
          <w:color w:val="002060"/>
          <w:sz w:val="18"/>
          <w:szCs w:val="18"/>
        </w:rPr>
        <w:t>.</w:t>
      </w:r>
    </w:p>
    <w:p w14:paraId="1EF5ADE9" w14:textId="77777777" w:rsidR="00957DED" w:rsidRDefault="00957DED" w:rsidP="00957DED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521D85CE" w14:textId="77777777" w:rsidR="00957DED" w:rsidRPr="000A6187" w:rsidRDefault="00957DED" w:rsidP="00957DED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t>SOPSTVENI PREVOZ:</w:t>
      </w:r>
    </w:p>
    <w:p w14:paraId="51A31896" w14:textId="082A50DC" w:rsidR="00957DED" w:rsidRPr="000A6187" w:rsidRDefault="00957DED" w:rsidP="00957DED">
      <w:pPr>
        <w:pStyle w:val="NoSpacing"/>
        <w:numPr>
          <w:ilvl w:val="0"/>
          <w:numId w:val="19"/>
        </w:numPr>
        <w:contextualSpacing/>
        <w:jc w:val="both"/>
        <w:rPr>
          <w:rStyle w:val="15"/>
          <w:b w:val="0"/>
          <w:bCs w:val="0"/>
          <w:color w:val="002060"/>
        </w:rPr>
      </w:pPr>
      <w:r w:rsidRPr="000A6187">
        <w:rPr>
          <w:rFonts w:cs="Calibri"/>
          <w:color w:val="002060"/>
          <w:sz w:val="18"/>
          <w:szCs w:val="18"/>
        </w:rPr>
        <w:t xml:space="preserve">Cena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umanjuje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r w:rsidR="00AA3446">
        <w:rPr>
          <w:rFonts w:cs="Calibri"/>
          <w:color w:val="002060"/>
          <w:sz w:val="18"/>
          <w:szCs w:val="18"/>
        </w:rPr>
        <w:t>5</w:t>
      </w:r>
      <w:r w:rsidRPr="000A6187">
        <w:rPr>
          <w:rFonts w:cs="Calibri"/>
          <w:color w:val="002060"/>
          <w:sz w:val="18"/>
          <w:szCs w:val="18"/>
        </w:rPr>
        <w:t xml:space="preserve">0€ po </w:t>
      </w:r>
      <w:proofErr w:type="spellStart"/>
      <w:r w:rsidRPr="000A6187">
        <w:rPr>
          <w:rFonts w:cs="Calibri"/>
          <w:color w:val="002060"/>
          <w:sz w:val="18"/>
          <w:szCs w:val="18"/>
        </w:rPr>
        <w:t>osobi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osnovnu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paket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;            </w:t>
      </w:r>
    </w:p>
    <w:p w14:paraId="78F309C8" w14:textId="77777777" w:rsidR="00957DED" w:rsidRPr="000A6187" w:rsidRDefault="00957DED" w:rsidP="00957DED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1B1B6A2C" w14:textId="77777777" w:rsidR="00AA3446" w:rsidRDefault="00AA3446" w:rsidP="00957DED">
      <w:pPr>
        <w:pStyle w:val="NoSpacing"/>
        <w:contextualSpacing/>
        <w:jc w:val="both"/>
        <w:rPr>
          <w:rStyle w:val="15"/>
          <w:color w:val="002060"/>
          <w:sz w:val="18"/>
          <w:szCs w:val="18"/>
        </w:rPr>
      </w:pPr>
    </w:p>
    <w:p w14:paraId="1ECB2EF3" w14:textId="5A6CCDAE" w:rsidR="00957DED" w:rsidRPr="000A6187" w:rsidRDefault="00957DED" w:rsidP="00957DED">
      <w:pPr>
        <w:pStyle w:val="NoSpacing"/>
        <w:contextualSpacing/>
        <w:jc w:val="both"/>
      </w:pPr>
      <w:r w:rsidRPr="000A6187">
        <w:rPr>
          <w:rStyle w:val="15"/>
          <w:color w:val="002060"/>
          <w:sz w:val="18"/>
          <w:szCs w:val="18"/>
        </w:rPr>
        <w:lastRenderedPageBreak/>
        <w:t>USLOVI I NAČIN PLAĆANJA:</w:t>
      </w:r>
    </w:p>
    <w:p w14:paraId="73D4EC54" w14:textId="77777777" w:rsidR="00957DED" w:rsidRPr="000A6187" w:rsidRDefault="00957DED" w:rsidP="00AA3446">
      <w:pPr>
        <w:pStyle w:val="NoSpacing"/>
        <w:ind w:left="720"/>
        <w:contextualSpacing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Plaćanje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dinarskoj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protivvrednosti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srednjem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kursu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NBS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</w:t>
      </w:r>
    </w:p>
    <w:p w14:paraId="4A7B3A5E" w14:textId="77777777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 xml:space="preserve">- UPLATA U CELOSTI: </w:t>
      </w:r>
      <w:proofErr w:type="spellStart"/>
      <w:r w:rsidRPr="000A6187">
        <w:rPr>
          <w:rFonts w:cs="Calibri"/>
          <w:color w:val="002060"/>
          <w:sz w:val="18"/>
          <w:szCs w:val="18"/>
        </w:rPr>
        <w:t>uplata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kompletne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uplate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celosti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odobravati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popust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cs="Calibri"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svaki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konkretan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period </w:t>
      </w:r>
      <w:proofErr w:type="spellStart"/>
      <w:r w:rsidRPr="000A6187">
        <w:rPr>
          <w:rFonts w:cs="Calibri"/>
          <w:color w:val="002060"/>
          <w:sz w:val="18"/>
          <w:szCs w:val="18"/>
        </w:rPr>
        <w:t>biti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naknadno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objavljen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</w:t>
      </w:r>
    </w:p>
    <w:p w14:paraId="747AF8B2" w14:textId="6E830611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UPLATA DO POLASKA:</w:t>
      </w:r>
      <w:r w:rsidR="00D80509">
        <w:rPr>
          <w:rFonts w:cs="Calibri"/>
          <w:color w:val="002060"/>
          <w:sz w:val="18"/>
          <w:szCs w:val="18"/>
        </w:rPr>
        <w:t xml:space="preserve"> </w:t>
      </w:r>
      <w:r w:rsidR="00AA3446">
        <w:rPr>
          <w:rFonts w:cs="Calibri"/>
          <w:color w:val="002060"/>
          <w:sz w:val="18"/>
          <w:szCs w:val="18"/>
        </w:rPr>
        <w:t>3</w:t>
      </w:r>
      <w:r w:rsidRPr="000A6187">
        <w:rPr>
          <w:rFonts w:cs="Calibri"/>
          <w:color w:val="002060"/>
          <w:sz w:val="18"/>
          <w:szCs w:val="18"/>
        </w:rPr>
        <w:t xml:space="preserve">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         </w:t>
      </w:r>
    </w:p>
    <w:p w14:paraId="2CA3A89F" w14:textId="34701FAF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ODLOŽENO PLAĆANJE:</w:t>
      </w:r>
      <w:r w:rsidR="00D80509">
        <w:rPr>
          <w:rFonts w:cs="Calibri"/>
          <w:color w:val="002060"/>
          <w:sz w:val="18"/>
          <w:szCs w:val="18"/>
        </w:rPr>
        <w:t xml:space="preserve"> </w:t>
      </w:r>
      <w:r w:rsidR="00AA3446">
        <w:rPr>
          <w:rFonts w:cs="Calibri"/>
          <w:color w:val="002060"/>
          <w:sz w:val="18"/>
          <w:szCs w:val="18"/>
        </w:rPr>
        <w:t>3</w:t>
      </w:r>
      <w:r w:rsidRPr="000A6187">
        <w:rPr>
          <w:rFonts w:cs="Calibri"/>
          <w:color w:val="002060"/>
          <w:sz w:val="18"/>
          <w:szCs w:val="18"/>
        </w:rPr>
        <w:t xml:space="preserve">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–  </w:t>
      </w:r>
      <w:proofErr w:type="spellStart"/>
      <w:r w:rsidRPr="000A6187">
        <w:rPr>
          <w:rFonts w:cs="Calibri"/>
          <w:color w:val="002060"/>
          <w:sz w:val="18"/>
          <w:szCs w:val="18"/>
        </w:rPr>
        <w:t>čekovi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građana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deponuju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10 dana pre </w:t>
      </w:r>
      <w:proofErr w:type="spellStart"/>
      <w:r w:rsidRPr="000A6187">
        <w:rPr>
          <w:rFonts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1D889B3A" w14:textId="77777777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>- PLATNE KARTICE:</w:t>
      </w:r>
      <w:r w:rsidRPr="000A6187">
        <w:rPr>
          <w:rFonts w:cs="Calibri"/>
          <w:color w:val="002060"/>
          <w:sz w:val="18"/>
          <w:szCs w:val="18"/>
        </w:rPr>
        <w:t xml:space="preserve"> Visa, Master, Maestro, American Express, Dina, </w:t>
      </w:r>
      <w:proofErr w:type="spellStart"/>
      <w:r w:rsidRPr="000A6187">
        <w:rPr>
          <w:rFonts w:cs="Calibri"/>
          <w:color w:val="002060"/>
          <w:sz w:val="18"/>
          <w:szCs w:val="18"/>
        </w:rPr>
        <w:t>kreditnim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karticama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Poštanske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štedionice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Banke Intesa do 6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mesečnih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 (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).                          </w:t>
      </w:r>
    </w:p>
    <w:p w14:paraId="1CB7D424" w14:textId="54E741E6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  <w:r w:rsidRPr="000A6187">
        <w:rPr>
          <w:rStyle w:val="15"/>
          <w:color w:val="002060"/>
          <w:sz w:val="18"/>
          <w:szCs w:val="18"/>
        </w:rPr>
        <w:t xml:space="preserve">- </w:t>
      </w:r>
      <w:proofErr w:type="gramStart"/>
      <w:r w:rsidRPr="000A6187">
        <w:rPr>
          <w:rStyle w:val="15"/>
          <w:color w:val="002060"/>
          <w:sz w:val="18"/>
          <w:szCs w:val="18"/>
        </w:rPr>
        <w:t>ADMINISTRATIVNA  ZABRANA</w:t>
      </w:r>
      <w:proofErr w:type="gramEnd"/>
      <w:r w:rsidRPr="000A6187">
        <w:rPr>
          <w:rStyle w:val="15"/>
          <w:color w:val="002060"/>
          <w:sz w:val="18"/>
          <w:szCs w:val="18"/>
        </w:rPr>
        <w:t>:</w:t>
      </w:r>
      <w:r w:rsidR="00D80509">
        <w:rPr>
          <w:rFonts w:cs="Calibri"/>
          <w:color w:val="002060"/>
          <w:sz w:val="18"/>
          <w:szCs w:val="18"/>
        </w:rPr>
        <w:t xml:space="preserve"> </w:t>
      </w:r>
      <w:r w:rsidR="00AA3446">
        <w:rPr>
          <w:rFonts w:cs="Calibri"/>
          <w:color w:val="002060"/>
          <w:sz w:val="18"/>
          <w:szCs w:val="18"/>
        </w:rPr>
        <w:t>3</w:t>
      </w:r>
      <w:r w:rsidRPr="000A6187">
        <w:rPr>
          <w:rFonts w:cs="Calibri"/>
          <w:color w:val="002060"/>
          <w:sz w:val="18"/>
          <w:szCs w:val="18"/>
        </w:rPr>
        <w:t xml:space="preserve">0% </w:t>
      </w:r>
      <w:proofErr w:type="spellStart"/>
      <w:r w:rsidRPr="000A6187">
        <w:rPr>
          <w:rFonts w:cs="Calibri"/>
          <w:color w:val="002060"/>
          <w:sz w:val="18"/>
          <w:szCs w:val="18"/>
        </w:rPr>
        <w:t>akontacije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ostatak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jednakim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mesečnim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ratama, </w:t>
      </w:r>
      <w:proofErr w:type="spellStart"/>
      <w:r w:rsidRPr="000A6187">
        <w:rPr>
          <w:rFonts w:cs="Calibri"/>
          <w:color w:val="002060"/>
          <w:sz w:val="18"/>
          <w:szCs w:val="18"/>
        </w:rPr>
        <w:t>putem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overene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administrativne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zabrane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(formular </w:t>
      </w:r>
      <w:proofErr w:type="spellStart"/>
      <w:r w:rsidRPr="000A6187">
        <w:rPr>
          <w:rFonts w:cs="Calibri"/>
          <w:color w:val="002060"/>
          <w:sz w:val="18"/>
          <w:szCs w:val="18"/>
        </w:rPr>
        <w:t>korisniku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izdaje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dospećem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do 25.12.2026. </w:t>
      </w:r>
      <w:proofErr w:type="spellStart"/>
      <w:r w:rsidRPr="000A6187">
        <w:rPr>
          <w:rFonts w:cs="Calibri"/>
          <w:color w:val="002060"/>
          <w:sz w:val="18"/>
          <w:szCs w:val="18"/>
        </w:rPr>
        <w:t>godine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53523B46" w14:textId="77777777" w:rsidR="00957DED" w:rsidRPr="000A6187" w:rsidRDefault="00957DED" w:rsidP="00AA3446">
      <w:pPr>
        <w:pStyle w:val="NoSpacing"/>
        <w:ind w:left="720" w:hanging="270"/>
        <w:contextualSpacing/>
        <w:rPr>
          <w:rFonts w:cs="Calibri"/>
          <w:color w:val="002060"/>
          <w:sz w:val="18"/>
          <w:szCs w:val="18"/>
        </w:rPr>
      </w:pPr>
    </w:p>
    <w:p w14:paraId="14B8D03D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21"/>
          <w:szCs w:val="21"/>
        </w:rPr>
      </w:pPr>
      <w:r w:rsidRPr="000A6187">
        <w:rPr>
          <w:rStyle w:val="15"/>
          <w:color w:val="002060"/>
          <w:sz w:val="21"/>
          <w:szCs w:val="21"/>
        </w:rPr>
        <w:t xml:space="preserve">AUTOBUSKI PREVOZ:      </w:t>
      </w:r>
    </w:p>
    <w:p w14:paraId="1119658B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  <w:proofErr w:type="spellStart"/>
      <w:r w:rsidRPr="000A6187">
        <w:rPr>
          <w:rFonts w:cs="Calibri"/>
          <w:color w:val="002060"/>
          <w:sz w:val="18"/>
          <w:szCs w:val="18"/>
        </w:rPr>
        <w:t>Datumi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polazaka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Srbije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letnjoj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sezoni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 </w:t>
      </w:r>
      <w:proofErr w:type="spellStart"/>
      <w:r w:rsidRPr="000A6187">
        <w:rPr>
          <w:rFonts w:cs="Calibri"/>
          <w:color w:val="002060"/>
          <w:sz w:val="18"/>
          <w:szCs w:val="18"/>
        </w:rPr>
        <w:t>ranije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odnosu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termine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naznačene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tabeli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okviru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cenovnika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Povratak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Srbiju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u </w:t>
      </w:r>
      <w:proofErr w:type="spellStart"/>
      <w:r w:rsidRPr="000A6187">
        <w:rPr>
          <w:rFonts w:cs="Calibri"/>
          <w:color w:val="002060"/>
          <w:sz w:val="18"/>
          <w:szCs w:val="18"/>
        </w:rPr>
        <w:t>poslepodnevnim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časovima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cs="Calibri"/>
          <w:color w:val="002060"/>
          <w:sz w:val="18"/>
          <w:szCs w:val="18"/>
        </w:rPr>
        <w:t>lokalnom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za </w:t>
      </w:r>
      <w:proofErr w:type="spellStart"/>
      <w:r w:rsidRPr="000A6187">
        <w:rPr>
          <w:rFonts w:cs="Calibri"/>
          <w:color w:val="002060"/>
          <w:sz w:val="18"/>
          <w:szCs w:val="18"/>
        </w:rPr>
        <w:t>tačno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informisati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cs="Calibri"/>
          <w:color w:val="002060"/>
          <w:sz w:val="18"/>
          <w:szCs w:val="18"/>
        </w:rPr>
        <w:t>kod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Satnica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povratka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letovanja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promenljiva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a u </w:t>
      </w:r>
      <w:proofErr w:type="spellStart"/>
      <w:r w:rsidRPr="000A6187">
        <w:rPr>
          <w:rFonts w:cs="Calibri"/>
          <w:color w:val="002060"/>
          <w:sz w:val="18"/>
          <w:szCs w:val="18"/>
        </w:rPr>
        <w:t>skladu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zakonskim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odmorom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vozača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obavezni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cs="Calibri"/>
          <w:color w:val="002060"/>
          <w:sz w:val="18"/>
          <w:szCs w:val="18"/>
        </w:rPr>
        <w:t>dva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dana pred </w:t>
      </w:r>
      <w:proofErr w:type="spellStart"/>
      <w:r w:rsidRPr="000A6187">
        <w:rPr>
          <w:rFonts w:cs="Calibri"/>
          <w:color w:val="002060"/>
          <w:sz w:val="18"/>
          <w:szCs w:val="18"/>
        </w:rPr>
        <w:t>početak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pozovu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kako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bi </w:t>
      </w:r>
      <w:proofErr w:type="spellStart"/>
      <w:r w:rsidRPr="000A6187">
        <w:rPr>
          <w:rFonts w:cs="Calibri"/>
          <w:color w:val="002060"/>
          <w:sz w:val="18"/>
          <w:szCs w:val="18"/>
        </w:rPr>
        <w:t>dobili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obaveštenje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cs="Calibri"/>
          <w:color w:val="002060"/>
          <w:sz w:val="18"/>
          <w:szCs w:val="18"/>
        </w:rPr>
        <w:t>tačnom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vremenu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cs="Calibri"/>
          <w:color w:val="002060"/>
          <w:sz w:val="18"/>
          <w:szCs w:val="18"/>
        </w:rPr>
        <w:t>imenu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pratioca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grupe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cs="Calibri"/>
          <w:color w:val="002060"/>
          <w:sz w:val="18"/>
          <w:szCs w:val="18"/>
        </w:rPr>
        <w:t>njegovom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broju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numerisana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proofErr w:type="gramStart"/>
      <w:r w:rsidRPr="000A6187">
        <w:rPr>
          <w:rFonts w:cs="Calibri"/>
          <w:b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proofErr w:type="gram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pravi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raspored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sedenja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će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prihvatiti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bilo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koje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mu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dodeli</w:t>
      </w:r>
      <w:proofErr w:type="spellEnd"/>
      <w:r w:rsidRPr="000A6187">
        <w:rPr>
          <w:rFonts w:cs="Calibri"/>
          <w:b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b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Sva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deca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moraju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imati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svoje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sedište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Moguća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priključenja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isključivo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koja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su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predviđena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ukrcaj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iskrcaj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određuje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mesta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cs="Calibri"/>
          <w:color w:val="002060"/>
          <w:sz w:val="18"/>
          <w:szCs w:val="18"/>
        </w:rPr>
        <w:t>pauze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njihovu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dužinu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cs="Calibri"/>
          <w:color w:val="002060"/>
          <w:sz w:val="18"/>
          <w:szCs w:val="18"/>
        </w:rPr>
        <w:t>Zabranjeno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zaustavljanje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na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petljama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ili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cs="Calibri"/>
          <w:color w:val="002060"/>
          <w:sz w:val="18"/>
          <w:szCs w:val="18"/>
        </w:rPr>
        <w:t>zaustavnoj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traci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autoputa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zbog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ulaska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izlaska</w:t>
      </w:r>
      <w:proofErr w:type="spellEnd"/>
      <w:r w:rsidRPr="000A6187">
        <w:rPr>
          <w:rFonts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cs="Calibri"/>
          <w:color w:val="002060"/>
          <w:sz w:val="18"/>
          <w:szCs w:val="18"/>
        </w:rPr>
        <w:t>.</w:t>
      </w:r>
    </w:p>
    <w:p w14:paraId="16592D83" w14:textId="77777777" w:rsidR="00957DED" w:rsidRPr="00957DED" w:rsidRDefault="00957DED" w:rsidP="00957DED">
      <w:pPr>
        <w:pStyle w:val="Heading4"/>
        <w:spacing w:before="0"/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</w:pPr>
      <w:r w:rsidRPr="00957DED">
        <w:rPr>
          <w:rStyle w:val="15"/>
          <w:rFonts w:asciiTheme="minorHAnsi" w:hAnsiTheme="minorHAnsi" w:cstheme="minorHAnsi"/>
          <w:b/>
          <w:i w:val="0"/>
          <w:sz w:val="18"/>
          <w:szCs w:val="18"/>
        </w:rPr>
        <w:t>*PRTLJAG</w:t>
      </w:r>
      <w:r w:rsidRPr="00957DED">
        <w:rPr>
          <w:rStyle w:val="15"/>
          <w:rFonts w:asciiTheme="minorHAnsi" w:hAnsiTheme="minorHAnsi" w:cstheme="minorHAnsi"/>
          <w:b/>
          <w:i w:val="0"/>
          <w:color w:val="FF0000"/>
          <w:sz w:val="18"/>
          <w:szCs w:val="18"/>
        </w:rPr>
        <w:t xml:space="preserve"> </w:t>
      </w:r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(u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odlasku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povratku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),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ograničen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je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na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1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kofer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standardnih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dimenzija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do 23 kg, 1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ručni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prtljag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dečija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>kolica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  <w:shd w:val="clear" w:color="auto" w:fill="FFFFFF"/>
        </w:rPr>
        <w:t xml:space="preserve">.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Doplata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iznosi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5€/kg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ukoliko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kofer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prelazi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dozvoljenu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kilažu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.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Suncobrani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,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ležaljke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i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dodatne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torbe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nisu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 xml:space="preserve"> </w:t>
      </w:r>
      <w:proofErr w:type="spellStart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dozvoljene</w:t>
      </w:r>
      <w:proofErr w:type="spellEnd"/>
      <w:r w:rsidRPr="00957DED">
        <w:rPr>
          <w:rFonts w:asciiTheme="minorHAnsi" w:hAnsiTheme="minorHAnsi" w:cstheme="minorHAnsi"/>
          <w:b w:val="0"/>
          <w:i w:val="0"/>
          <w:color w:val="FF0000"/>
          <w:sz w:val="18"/>
          <w:szCs w:val="18"/>
        </w:rPr>
        <w:t>.</w:t>
      </w:r>
    </w:p>
    <w:p w14:paraId="7633ADEA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A2360"/>
          <w:sz w:val="18"/>
          <w:szCs w:val="18"/>
          <w:shd w:val="clear" w:color="auto" w:fill="FFFFFF"/>
        </w:rPr>
      </w:pPr>
    </w:p>
    <w:p w14:paraId="37A3D41B" w14:textId="77777777" w:rsidR="00957DED" w:rsidRPr="000A6187" w:rsidRDefault="00957DED" w:rsidP="00957DED">
      <w:pPr>
        <w:pStyle w:val="NoSpacing"/>
        <w:contextualSpacing/>
        <w:jc w:val="both"/>
        <w:rPr>
          <w:rFonts w:cs="Calibri"/>
          <w:color w:val="002060"/>
          <w:sz w:val="18"/>
          <w:szCs w:val="18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167"/>
        <w:gridCol w:w="1102"/>
        <w:gridCol w:w="723"/>
        <w:gridCol w:w="1063"/>
        <w:gridCol w:w="698"/>
        <w:gridCol w:w="1063"/>
        <w:gridCol w:w="698"/>
        <w:gridCol w:w="1063"/>
        <w:gridCol w:w="713"/>
      </w:tblGrid>
      <w:tr w:rsidR="00957DED" w:rsidRPr="000A6187" w14:paraId="42974987" w14:textId="77777777" w:rsidTr="00DD0481">
        <w:trPr>
          <w:trHeight w:val="300"/>
          <w:tblCellSpacing w:w="15" w:type="dxa"/>
          <w:jc w:val="center"/>
        </w:trPr>
        <w:tc>
          <w:tcPr>
            <w:tcW w:w="91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F171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CENE PREVOZA</w:t>
            </w:r>
          </w:p>
        </w:tc>
      </w:tr>
      <w:tr w:rsidR="00957DED" w:rsidRPr="000A6187" w14:paraId="4ECA10EE" w14:textId="77777777" w:rsidTr="00DD0481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C92D7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GRČKA</w:t>
            </w:r>
          </w:p>
        </w:tc>
      </w:tr>
      <w:tr w:rsidR="00957DED" w:rsidRPr="000A6187" w14:paraId="44140C2C" w14:textId="77777777" w:rsidTr="00DD048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5799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59F5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REGIJA SV. ĐORĐA I OLIMPSKA REGIJA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8C985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HALKIDIKI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7D207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EVIA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120CD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TASOS</w:t>
            </w:r>
          </w:p>
        </w:tc>
      </w:tr>
      <w:tr w:rsidR="00957DED" w:rsidRPr="000A6187" w14:paraId="1315E587" w14:textId="77777777" w:rsidTr="00DD0481">
        <w:trPr>
          <w:trHeight w:val="300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DA8F" w14:textId="77777777" w:rsidR="00957DED" w:rsidRPr="000A6187" w:rsidRDefault="00957DED" w:rsidP="00DD0481">
            <w:pPr>
              <w:contextualSpacing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49358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53FF5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35B32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E41B0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AE370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42C1B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D01A5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ODRASLI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4D7C1" w14:textId="77777777" w:rsidR="00957DED" w:rsidRPr="000A6187" w:rsidRDefault="00957DED" w:rsidP="00DD0481">
            <w:pPr>
              <w:spacing w:before="100" w:beforeAutospacing="1" w:line="271" w:lineRule="auto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6187">
              <w:rPr>
                <w:b/>
                <w:bCs/>
                <w:color w:val="002060"/>
                <w:sz w:val="18"/>
                <w:szCs w:val="18"/>
              </w:rPr>
              <w:t>DECA</w:t>
            </w:r>
          </w:p>
        </w:tc>
      </w:tr>
      <w:tr w:rsidR="00957DED" w:rsidRPr="00D80509" w14:paraId="3786CA2E" w14:textId="77777777" w:rsidTr="00DD0481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31A6C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POVRATNA KARTA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8BC8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5CBB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736A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65830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097E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21BC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1DF9E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A4B0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65</w:t>
            </w:r>
          </w:p>
        </w:tc>
      </w:tr>
      <w:tr w:rsidR="00957DED" w:rsidRPr="00D80509" w14:paraId="2DC8E62A" w14:textId="77777777" w:rsidTr="00DD0481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232C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JEDAN PRAVAC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2E5F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AEC2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4FD74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0EBB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C945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0B6C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0048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A007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60</w:t>
            </w:r>
          </w:p>
        </w:tc>
      </w:tr>
      <w:tr w:rsidR="00957DED" w:rsidRPr="00D80509" w14:paraId="25390CD6" w14:textId="77777777" w:rsidTr="00DD0481">
        <w:trPr>
          <w:trHeight w:val="300"/>
          <w:tblCellSpacing w:w="15" w:type="dxa"/>
          <w:jc w:val="center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2A6E3" w14:textId="77777777" w:rsidR="00957DED" w:rsidRPr="00D80509" w:rsidRDefault="00957DED" w:rsidP="00D80509">
            <w:pPr>
              <w:spacing w:before="100" w:beforeAutospacing="1" w:line="271" w:lineRule="auto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*Cene se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odnose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samo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na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korišćenje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usluge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autobuskog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prevoza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- van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paket</w:t>
            </w:r>
            <w:proofErr w:type="spellEnd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80509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aranžmana</w:t>
            </w:r>
            <w:proofErr w:type="spellEnd"/>
          </w:p>
        </w:tc>
      </w:tr>
    </w:tbl>
    <w:p w14:paraId="18AE3454" w14:textId="77777777" w:rsidR="00957DED" w:rsidRPr="00D80509" w:rsidRDefault="00D80509" w:rsidP="00D80509">
      <w:pPr>
        <w:pStyle w:val="NormalWeb"/>
        <w:contextualSpacing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2060"/>
          <w:sz w:val="18"/>
          <w:szCs w:val="18"/>
        </w:rPr>
        <w:t>POVRATNI TRENSFER</w:t>
      </w:r>
    </w:p>
    <w:p w14:paraId="6E1A3209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Valjevo - 30€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DFE73F5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Novi Sad,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Zrenjanin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- 30€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25B38567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Kikinda - 40€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3117C95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Senta - 50€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00E55ADE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Negotin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gram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-  30</w:t>
      </w:r>
      <w:proofErr w:type="gram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9DB9823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Pančevo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- 20€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8687E55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Lazarevac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- 25€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5BC385C7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Bor /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Zaječar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- 25€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6F009B8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Aranđelovac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- 20€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</w:p>
    <w:p w14:paraId="71B1BD4B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- Smederevo - 15€ po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osobi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 </w:t>
      </w:r>
    </w:p>
    <w:p w14:paraId="4AB7E45A" w14:textId="77777777" w:rsidR="00D80509" w:rsidRPr="00D80509" w:rsidRDefault="00D80509" w:rsidP="00D80509">
      <w:pPr>
        <w:pStyle w:val="NormalWeb"/>
        <w:spacing w:before="0" w:beforeAutospacing="0" w:after="169" w:afterAutospacing="0"/>
        <w:contextualSpacing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Za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organizaciju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transfera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,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potrebno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je minimum 2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putnika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,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osim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ako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agencija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za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odredjene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polaske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ne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donese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drugačiju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 xml:space="preserve"> </w:t>
      </w:r>
      <w:proofErr w:type="spellStart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odluku</w:t>
      </w:r>
      <w:proofErr w:type="spellEnd"/>
      <w:r w:rsidRPr="00D80509">
        <w:rPr>
          <w:rStyle w:val="Strong"/>
          <w:rFonts w:asciiTheme="minorHAnsi" w:hAnsiTheme="minorHAnsi" w:cstheme="minorHAnsi"/>
          <w:bCs w:val="0"/>
          <w:color w:val="002060"/>
          <w:sz w:val="18"/>
          <w:szCs w:val="18"/>
        </w:rPr>
        <w:t>.</w:t>
      </w:r>
    </w:p>
    <w:p w14:paraId="0BC01F26" w14:textId="77777777" w:rsidR="00957DED" w:rsidRPr="000A6187" w:rsidRDefault="00957DED" w:rsidP="00957DED">
      <w:pPr>
        <w:pStyle w:val="NormalWeb"/>
        <w:contextualSpacing/>
        <w:jc w:val="both"/>
        <w:rPr>
          <w:rFonts w:ascii="Calibri" w:hAnsi="Calibri" w:cs="Calibri"/>
          <w:color w:val="002060"/>
          <w:sz w:val="18"/>
          <w:szCs w:val="18"/>
        </w:rPr>
      </w:pPr>
    </w:p>
    <w:p w14:paraId="4B4BCF1A" w14:textId="77777777" w:rsidR="00AA3446" w:rsidRDefault="00AA3446" w:rsidP="00957DED">
      <w:pPr>
        <w:pStyle w:val="NormalWeb"/>
        <w:contextualSpacing/>
        <w:jc w:val="both"/>
        <w:rPr>
          <w:rStyle w:val="15"/>
          <w:color w:val="002060"/>
          <w:sz w:val="18"/>
          <w:szCs w:val="18"/>
        </w:rPr>
      </w:pPr>
    </w:p>
    <w:p w14:paraId="6477AF19" w14:textId="1C3F8130" w:rsidR="00957DED" w:rsidRPr="000A6187" w:rsidRDefault="00957DED" w:rsidP="00957DED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lastRenderedPageBreak/>
        <w:t xml:space="preserve">SOPSTVENI PREVOZ:       </w:t>
      </w:r>
    </w:p>
    <w:p w14:paraId="5E85380F" w14:textId="77777777" w:rsidR="00957DED" w:rsidRPr="000A6187" w:rsidRDefault="00957DED" w:rsidP="00957DED">
      <w:pPr>
        <w:pStyle w:val="NormalWeb"/>
        <w:contextualSpacing/>
        <w:jc w:val="both"/>
      </w:pPr>
      <w:r w:rsidRPr="000A6187">
        <w:rPr>
          <w:rFonts w:ascii="Calibri" w:hAnsi="Calibri" w:cs="Calibri"/>
          <w:color w:val="002060"/>
          <w:sz w:val="18"/>
          <w:szCs w:val="18"/>
        </w:rPr>
        <w:t xml:space="preserve">Putnik koji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vrstu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da minimum dan 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kontaktira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zbog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dobijanja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vaučera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odabrani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dobiće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telefona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osobe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zadužene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kontakt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destinaciji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radi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lakšeg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pronalaženja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ukoliko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raspitaju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pravilima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zakonima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vezanim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prelazak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vozila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granice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nadležnih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organa (AMSS, MUP R. Srbije,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Konzularno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odeljenje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R.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Grčke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</w:p>
    <w:p w14:paraId="37C47975" w14:textId="77777777" w:rsidR="00957DED" w:rsidRDefault="00957DED" w:rsidP="00957DED">
      <w:pPr>
        <w:pStyle w:val="NormalWeb"/>
        <w:contextualSpacing/>
        <w:jc w:val="both"/>
        <w:rPr>
          <w:rStyle w:val="15"/>
          <w:color w:val="002060"/>
          <w:sz w:val="18"/>
          <w:szCs w:val="18"/>
        </w:rPr>
      </w:pPr>
    </w:p>
    <w:p w14:paraId="07744776" w14:textId="77777777" w:rsidR="00957DED" w:rsidRPr="000A6187" w:rsidRDefault="00957DED" w:rsidP="00957DED">
      <w:pPr>
        <w:pStyle w:val="NormalWeb"/>
        <w:contextualSpacing/>
        <w:jc w:val="both"/>
        <w:rPr>
          <w:rStyle w:val="15"/>
        </w:rPr>
      </w:pPr>
      <w:r w:rsidRPr="000A6187">
        <w:rPr>
          <w:rStyle w:val="15"/>
          <w:color w:val="002060"/>
          <w:sz w:val="18"/>
          <w:szCs w:val="18"/>
        </w:rPr>
        <w:t xml:space="preserve">OBAVEŠTENJE O NAČINU I MESTU PRIJEMA REKLAMACIJA            </w:t>
      </w:r>
    </w:p>
    <w:p w14:paraId="12E63810" w14:textId="77777777" w:rsidR="00957DED" w:rsidRPr="000A6187" w:rsidRDefault="00957DED" w:rsidP="00957DED">
      <w:pPr>
        <w:pStyle w:val="NormalWeb"/>
        <w:contextualSpacing/>
        <w:rPr>
          <w:rFonts w:ascii="Calibri" w:hAnsi="Calibri" w:cs="Calibri"/>
          <w:b/>
          <w:bCs/>
          <w:color w:val="002060"/>
          <w:sz w:val="18"/>
          <w:szCs w:val="18"/>
        </w:rPr>
      </w:pPr>
      <w:r w:rsidRPr="000A6187">
        <w:rPr>
          <w:rFonts w:ascii="Calibri" w:hAnsi="Calibri" w:cs="Calibri"/>
          <w:color w:val="002060"/>
          <w:sz w:val="18"/>
          <w:szCs w:val="18"/>
        </w:rPr>
        <w:t xml:space="preserve">Putnik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lokalnog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predstavnika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lokalnu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uputio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pružanja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formi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papiru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odgovarajući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način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obavesti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nedostacima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izvršenih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mesec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utvrđivanja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nedostatka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Putnik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izjavi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dostavu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prodatom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potvrdu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potvrdi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osam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od dana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prijema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elektronskim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potrošaču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izjavljenu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r w:rsidRPr="000A6187">
        <w:rPr>
          <w:rStyle w:val="15"/>
          <w:color w:val="002060"/>
          <w:sz w:val="18"/>
          <w:szCs w:val="18"/>
        </w:rPr>
        <w:t xml:space="preserve">MESTO ODREĐENO ZA PRIJEM REKLAMACIJA: HEDONIC TRAVEL BEOGRAD, Gavrila </w:t>
      </w:r>
      <w:proofErr w:type="spellStart"/>
      <w:r w:rsidRPr="000A6187">
        <w:rPr>
          <w:rStyle w:val="15"/>
          <w:color w:val="002060"/>
          <w:sz w:val="18"/>
          <w:szCs w:val="18"/>
        </w:rPr>
        <w:t>Principa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52, mail: </w:t>
      </w:r>
      <w:hyperlink r:id="rId8" w:history="1">
        <w:r w:rsidRPr="000A6187">
          <w:rPr>
            <w:rStyle w:val="Hyperlink"/>
            <w:rFonts w:ascii="Calibri" w:hAnsi="Calibri" w:cs="Calibri"/>
            <w:sz w:val="18"/>
            <w:szCs w:val="18"/>
          </w:rPr>
          <w:t>info@hedonictravel.rs</w:t>
        </w:r>
      </w:hyperlink>
      <w:r w:rsidRPr="000A6187">
        <w:rPr>
          <w:rStyle w:val="15"/>
          <w:color w:val="002060"/>
          <w:sz w:val="18"/>
          <w:szCs w:val="18"/>
        </w:rPr>
        <w:t xml:space="preserve">; </w:t>
      </w:r>
      <w:proofErr w:type="spellStart"/>
      <w:r w:rsidRPr="000A6187">
        <w:rPr>
          <w:rStyle w:val="15"/>
          <w:color w:val="002060"/>
          <w:sz w:val="18"/>
          <w:szCs w:val="18"/>
        </w:rPr>
        <w:t>tel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: +381 11 366 – 44 – 55. Osoba </w:t>
      </w:r>
      <w:proofErr w:type="spellStart"/>
      <w:r w:rsidRPr="000A6187">
        <w:rPr>
          <w:rStyle w:val="15"/>
          <w:color w:val="002060"/>
          <w:sz w:val="18"/>
          <w:szCs w:val="18"/>
        </w:rPr>
        <w:t>ovlašćena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za </w:t>
      </w:r>
      <w:proofErr w:type="spellStart"/>
      <w:r w:rsidRPr="000A6187">
        <w:rPr>
          <w:rStyle w:val="15"/>
          <w:color w:val="002060"/>
          <w:sz w:val="18"/>
          <w:szCs w:val="18"/>
        </w:rPr>
        <w:t>prijem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</w:t>
      </w:r>
      <w:proofErr w:type="spellStart"/>
      <w:r w:rsidRPr="000A6187">
        <w:rPr>
          <w:rStyle w:val="15"/>
          <w:color w:val="002060"/>
          <w:sz w:val="18"/>
          <w:szCs w:val="18"/>
        </w:rPr>
        <w:t>reklamacija</w:t>
      </w:r>
      <w:proofErr w:type="spellEnd"/>
      <w:r w:rsidRPr="000A6187">
        <w:rPr>
          <w:rStyle w:val="15"/>
          <w:color w:val="002060"/>
          <w:sz w:val="18"/>
          <w:szCs w:val="18"/>
        </w:rPr>
        <w:t xml:space="preserve"> je </w:t>
      </w:r>
      <w:proofErr w:type="gramStart"/>
      <w:r w:rsidRPr="000A6187">
        <w:rPr>
          <w:rStyle w:val="15"/>
          <w:color w:val="002060"/>
          <w:sz w:val="18"/>
          <w:szCs w:val="18"/>
        </w:rPr>
        <w:t xml:space="preserve">Milošević  </w:t>
      </w:r>
      <w:proofErr w:type="spellStart"/>
      <w:r w:rsidRPr="000A6187">
        <w:rPr>
          <w:rStyle w:val="15"/>
          <w:color w:val="002060"/>
          <w:sz w:val="18"/>
          <w:szCs w:val="18"/>
        </w:rPr>
        <w:t>Simonida</w:t>
      </w:r>
      <w:proofErr w:type="spellEnd"/>
      <w:proofErr w:type="gramEnd"/>
      <w:r w:rsidRPr="000A6187">
        <w:rPr>
          <w:rStyle w:val="15"/>
          <w:color w:val="002060"/>
          <w:sz w:val="18"/>
          <w:szCs w:val="18"/>
        </w:rPr>
        <w:t>.</w:t>
      </w:r>
      <w:r w:rsidRPr="000A6187">
        <w:rPr>
          <w:rStyle w:val="15"/>
          <w:color w:val="002060"/>
          <w:sz w:val="18"/>
          <w:szCs w:val="18"/>
        </w:rPr>
        <w:br/>
      </w:r>
      <w:r w:rsidRPr="000A6187">
        <w:rPr>
          <w:rFonts w:ascii="Calibri" w:hAnsi="Calibri" w:cs="Calibri"/>
          <w:b/>
          <w:color w:val="002060"/>
          <w:sz w:val="18"/>
          <w:szCs w:val="18"/>
        </w:rPr>
        <w:t>NAPOMENE: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neophodan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minimum od 45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Fotografije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zbog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raznovrsnosti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struktura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izabrane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nasumično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znače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indentični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izgled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svake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kupatila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kuhinje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Većina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Grčkoj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sistem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solarnih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bojlera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zagrevanje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što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podrazumeva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nešto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temperature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tople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odnosu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uobičajenu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manji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proofErr w:type="gramStart"/>
      <w:r w:rsidRPr="000A6187">
        <w:rPr>
          <w:rFonts w:ascii="Calibri" w:hAnsi="Calibri" w:cs="Calibri"/>
          <w:color w:val="002060"/>
          <w:sz w:val="18"/>
          <w:szCs w:val="18"/>
        </w:rPr>
        <w:t>pritisak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 topple</w:t>
      </w:r>
      <w:proofErr w:type="gram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periodima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prijavljivanja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imena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potrebno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navesti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datum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rođenja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deteta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najavljuje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Vlasnik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licu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naplati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proizašle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netačno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podataka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Čistoću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boravka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održavaju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napuštanja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izbace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apartmana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Posteljina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kuhinjski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inventar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sastavni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gramStart"/>
      <w:r w:rsidRPr="000A6187">
        <w:rPr>
          <w:rFonts w:ascii="Calibri" w:hAnsi="Calibri" w:cs="Calibri"/>
          <w:color w:val="002060"/>
          <w:sz w:val="18"/>
          <w:szCs w:val="18"/>
        </w:rPr>
        <w:t xml:space="preserve">deo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proofErr w:type="gram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peškire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sapun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toalet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papir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higijenu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obezbeđuju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zakrčenja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ulica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nemogućnosti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prolaska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mestima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nalaze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autobus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ostaviti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najbliže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Predstavnik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pratilac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vozači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autobusa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nose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prtljag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moraju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pridržavati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istaknutog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kućnog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nisu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državljani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Republike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Srbije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dužni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informišu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viznom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režimu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zemlje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prolaze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mogućnost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redosled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vreme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pojedinih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sadržaja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zavisnosti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objektivnih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okolnosti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kašnjenje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kvar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sredstva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radovi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putu,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gužve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saobraćaju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štrajkovi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vremenske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neprilike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visa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sila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sopstveni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stranke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koriste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agencijski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bez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obzira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kako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kada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uplatili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kompletan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vaučer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dokument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krenu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ugovoreno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biće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izdat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sedam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dana 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datuma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korišćenja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   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First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Last minute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korišćenjem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first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last minute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ponudaprodajesvojeslobodnekapacitete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cenamakojesunižeilidrugačije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cenovniku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prilikom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uplatili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cenovnika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momentu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rezervacije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ostvaruju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nadoknadu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razliku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tokom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čitavog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trajanja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–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snosi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eventualni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gubitak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krađu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nestanak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: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isprava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dokumenta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novca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vrednih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stvari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prtljaga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Putnici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mole da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brižljivo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staraju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navedenim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stvarima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promena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monetarnom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tržištu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tržištu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roba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nedovoljnog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parvo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korekcije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otkaza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najkasnije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 5 dana pre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početka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. 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snosi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odgovornost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eventualne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usmene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opis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usluge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katalozima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web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sajtovima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slično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razlikuju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sadržane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posebnom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pisanom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ugovoru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ne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mogu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biti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osnov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isticanje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prigovora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reklamacije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   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propiše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drugačije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uslove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pojedine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promotivne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ponude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date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kolektivima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sindikalnim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organizacijama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kao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okviru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određenih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reklamnih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akcija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specijalnih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.</w:t>
      </w:r>
      <w:r w:rsidRPr="000A6187">
        <w:rPr>
          <w:rFonts w:ascii="Calibri" w:hAnsi="Calibri" w:cs="Calibri"/>
          <w:color w:val="002060"/>
          <w:sz w:val="18"/>
          <w:szCs w:val="18"/>
        </w:rPr>
        <w:br/>
        <w:t xml:space="preserve">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nedovoljnog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broja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prijavljenih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(minimum 45)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zadržava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pravo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predmetni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aranžman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realizuje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saradnji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agencijom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koja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sličan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uz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poštovanje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ispunjenosti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osnovnih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elemenata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realizujući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taj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način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ceo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program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samo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neke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elemente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izlete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ili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8"/>
          <w:szCs w:val="18"/>
        </w:rPr>
        <w:t>drugo</w:t>
      </w:r>
      <w:proofErr w:type="spellEnd"/>
      <w:r w:rsidRPr="000A6187">
        <w:rPr>
          <w:rFonts w:ascii="Calibri" w:hAnsi="Calibri" w:cs="Calibri"/>
          <w:color w:val="002060"/>
          <w:sz w:val="18"/>
          <w:szCs w:val="18"/>
        </w:rPr>
        <w:t>).</w:t>
      </w:r>
      <w:r w:rsidRPr="000A6187">
        <w:rPr>
          <w:rFonts w:ascii="Calibri" w:hAnsi="Calibri" w:cs="Calibri"/>
          <w:color w:val="002060"/>
          <w:sz w:val="18"/>
          <w:szCs w:val="18"/>
        </w:rPr>
        <w:br/>
      </w:r>
      <w:r w:rsidRPr="000A6187">
        <w:rPr>
          <w:rFonts w:ascii="Calibri" w:hAnsi="Calibri" w:cs="Calibri"/>
          <w:b/>
          <w:color w:val="002060"/>
          <w:sz w:val="16"/>
          <w:szCs w:val="16"/>
        </w:rPr>
        <w:t>PREDUGOVORNO OBAVEŠTAVANJE: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Ova oblast je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regulisana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članovima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93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94 ZOZP.</w:t>
      </w:r>
      <w:r w:rsidRPr="000A6187">
        <w:rPr>
          <w:rFonts w:ascii="Calibri" w:hAnsi="Calibri" w:cs="Calibri"/>
          <w:color w:val="002060"/>
          <w:sz w:val="16"/>
          <w:szCs w:val="16"/>
        </w:rPr>
        <w:br/>
      </w:r>
      <w:r w:rsidRPr="000A6187">
        <w:rPr>
          <w:rFonts w:ascii="Calibri" w:hAnsi="Calibri" w:cs="Calibri"/>
          <w:color w:val="002060"/>
          <w:sz w:val="16"/>
          <w:szCs w:val="16"/>
        </w:rPr>
        <w:lastRenderedPageBreak/>
        <w:t xml:space="preserve">Pre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zaključenja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organizovanju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povezanog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aranžmana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izleta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posrednik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pruži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srpskom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jeziku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to o: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1)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osnovnim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karakteristikama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: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a)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odredištu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period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boravka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datumima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iako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uključen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obuhvaćenih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noćenja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b)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sredstvu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njegovim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karakteristikama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kategoriji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datumu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trajanju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zaustavljanja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presedanja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c)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podacima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objektu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lokacija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vrsta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sadržina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kategorija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skladu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propisima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zemlje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se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objekat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nalazi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podacima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opremljenosti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nivou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komfora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jedinice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(soba, studio,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apartman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naznakom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napuštanja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smeštaja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d)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usluživanja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obroka,sa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naznakom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prvoj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poslednjoj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usluzi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obejktu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(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pr.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Ručak-doručak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)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e)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približnoj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veličini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grupe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 xml:space="preserve">f) </w:t>
      </w:r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 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jeziku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kojem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će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se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usluge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pružati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ukoliko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korišćenje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drugih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usluga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na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strani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putnika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zavisi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od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efikasne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usmene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 xml:space="preserve"> </w:t>
      </w:r>
      <w:proofErr w:type="spellStart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komunikacije</w:t>
      </w:r>
      <w:proofErr w:type="spellEnd"/>
      <w:r w:rsidRPr="000A6187">
        <w:rPr>
          <w:rFonts w:ascii="Calibri" w:hAnsi="Calibri" w:cs="Calibri"/>
          <w:color w:val="0A2360"/>
          <w:sz w:val="16"/>
          <w:szCs w:val="16"/>
          <w:shd w:val="clear" w:color="auto" w:fill="FFFFFF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2)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mogućnosti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lica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smanjenom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pokretljivošću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3)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poslovnom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sedištu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matičnom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telefona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adresi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e-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pošte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4)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prodajnoj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ceni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iskazanoj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jedinstvenom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istoj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valuti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pored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usluga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programa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posebnih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sadrži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dodatne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poreze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takse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druge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koji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neodvojiv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deo,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neophodni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5)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procentu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cene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koji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treba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budu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plaćeni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kao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depozit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načinu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dinamici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preostalog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iznosa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6)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minimalnom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broju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ako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je to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uslov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realizaciju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I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krajnjem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roku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obaveštavanje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slučaj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otkazivanja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navedeno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 11. OUP;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7)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zahtevima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pasoš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vizu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okvirne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periode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potrebne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pribavljanje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vize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informacije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zdravstvenim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formalnostima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zemlji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odredišta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8)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mogućnosti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raskine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bilo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trenutku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pre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otpočinjanja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turističkog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putovanja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plaćanje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odgovarajuće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naknade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skladu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 12 OUP;</w:t>
      </w:r>
      <w:r w:rsidRPr="000A6187">
        <w:rPr>
          <w:rFonts w:ascii="Calibri" w:hAnsi="Calibri" w:cs="Calibri"/>
          <w:color w:val="002060"/>
          <w:sz w:val="16"/>
          <w:szCs w:val="16"/>
        </w:rPr>
        <w:br/>
        <w:t>9) 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dobrovoljnom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obaveznom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osiguranju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koje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pokriva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raskida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od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strane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troškove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pomoći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uključujući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repatrijaciju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slučaju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nezgode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bolesti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ili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smrti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</w:t>
      </w:r>
      <w:r w:rsidRPr="000A6187">
        <w:rPr>
          <w:rFonts w:ascii="Calibri" w:hAnsi="Calibri" w:cs="Calibri"/>
          <w:color w:val="002060"/>
          <w:sz w:val="16"/>
          <w:szCs w:val="16"/>
        </w:rPr>
        <w:br/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Ukoliko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tačno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datum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mestu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zaustavljanja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presedanja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za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prevoz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u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zaključenja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ugovora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nije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utvrđeno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organizator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,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odnosno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posrednik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će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obavestiti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putnika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o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približnom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vremenu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polaska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i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 xml:space="preserve"> </w:t>
      </w:r>
      <w:proofErr w:type="spellStart"/>
      <w:r w:rsidRPr="000A6187">
        <w:rPr>
          <w:rFonts w:ascii="Calibri" w:hAnsi="Calibri" w:cs="Calibri"/>
          <w:color w:val="002060"/>
          <w:sz w:val="16"/>
          <w:szCs w:val="16"/>
        </w:rPr>
        <w:t>povratka</w:t>
      </w:r>
      <w:proofErr w:type="spellEnd"/>
      <w:r w:rsidRPr="000A6187">
        <w:rPr>
          <w:rFonts w:ascii="Calibri" w:hAnsi="Calibri" w:cs="Calibri"/>
          <w:color w:val="002060"/>
          <w:sz w:val="16"/>
          <w:szCs w:val="16"/>
        </w:rPr>
        <w:t>.</w:t>
      </w:r>
      <w:r w:rsidRPr="000A6187">
        <w:rPr>
          <w:rFonts w:ascii="Calibri" w:hAnsi="Calibri" w:cs="Calibri"/>
          <w:color w:val="002060"/>
          <w:sz w:val="16"/>
          <w:szCs w:val="16"/>
        </w:rPr>
        <w:br/>
      </w:r>
    </w:p>
    <w:p w14:paraId="25016826" w14:textId="77777777" w:rsidR="00957DED" w:rsidRPr="006166D1" w:rsidRDefault="00D80509" w:rsidP="00957DED">
      <w:pPr>
        <w:contextualSpacing/>
        <w:jc w:val="center"/>
        <w:rPr>
          <w:rFonts w:asciiTheme="minorHAnsi" w:hAnsiTheme="minorHAnsi" w:cstheme="minorHAnsi"/>
          <w:color w:val="002060"/>
          <w:sz w:val="16"/>
          <w:szCs w:val="16"/>
        </w:rPr>
      </w:pPr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Uz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sve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objavljene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programe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proofErr w:type="gram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važe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 OPŠTI</w:t>
      </w:r>
      <w:proofErr w:type="gram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USLOVI </w:t>
      </w:r>
      <w:proofErr w:type="gram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  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organizatora</w:t>
      </w:r>
      <w:proofErr w:type="spellEnd"/>
      <w:proofErr w:type="gram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proofErr w:type="gram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 HEDONIC</w:t>
      </w:r>
      <w:proofErr w:type="gram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 TRAVEL doo,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usaglašeni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YUTA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standardima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sastavni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deo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objavljenog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pisanog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programa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. HEDONIC TRAVEL doo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poseduje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proofErr w:type="gram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Licencu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  OTP</w:t>
      </w:r>
      <w:proofErr w:type="gram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br. 103/2021. od 08.10.2021,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uz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Garanciju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u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slučaju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insolventnosti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agencije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. Period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pokrića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Garancije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je od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datuma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njenog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izdavanja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pa do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završetka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turističkog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odnosno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do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povratka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Putnika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na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ugovoreno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odredište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.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Garancija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po Polisi </w:t>
      </w:r>
      <w:proofErr w:type="spellStart"/>
      <w:proofErr w:type="gram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broj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 30000053069</w:t>
      </w:r>
      <w:proofErr w:type="gram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od 01.10.2025. MILENIJUM OSIGURANJE A.D.O.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Garancija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putovanja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se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aktivira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bez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odlaganja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odnosno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u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roku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od 14 dana od dana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nastanka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osiguranog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slučaja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kod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„MILENIJUM OSIGURANJE ADO”, +381 11 7152 300,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pisanim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putem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ili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telegramom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na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adresu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MILENIJUM OSIGURANJE ADO, Beograd, ul.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Milutina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Milankovića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3b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ili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</w:t>
      </w:r>
      <w:proofErr w:type="spellStart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>na</w:t>
      </w:r>
      <w:proofErr w:type="spellEnd"/>
      <w:r w:rsidRPr="006166D1">
        <w:rPr>
          <w:rStyle w:val="Strong"/>
          <w:rFonts w:ascii="Arial" w:hAnsi="Arial" w:cs="Arial"/>
          <w:bCs w:val="0"/>
          <w:color w:val="0A2360"/>
          <w:sz w:val="12"/>
          <w:szCs w:val="12"/>
          <w:shd w:val="clear" w:color="auto" w:fill="FFFFFF"/>
        </w:rPr>
        <w:t xml:space="preserve"> mail: </w:t>
      </w:r>
      <w:hyperlink r:id="rId9" w:history="1">
        <w:r w:rsidRPr="006166D1">
          <w:rPr>
            <w:rStyle w:val="Strong"/>
            <w:rFonts w:ascii="Arial" w:hAnsi="Arial" w:cs="Arial"/>
            <w:bCs w:val="0"/>
            <w:color w:val="0A2360"/>
            <w:sz w:val="12"/>
            <w:szCs w:val="12"/>
            <w:shd w:val="clear" w:color="auto" w:fill="FFFFFF"/>
          </w:rPr>
          <w:t>office@milenijum-osiguranje.rs</w:t>
        </w:r>
      </w:hyperlink>
    </w:p>
    <w:p w14:paraId="42054555" w14:textId="34852502" w:rsidR="00957DED" w:rsidRDefault="00957DED" w:rsidP="00957DED">
      <w:pPr>
        <w:pStyle w:val="NormalWeb"/>
        <w:shd w:val="clear" w:color="auto" w:fill="FFFFFF"/>
        <w:spacing w:before="0" w:beforeAutospacing="0" w:after="300" w:afterAutospacing="0"/>
        <w:contextualSpacing/>
        <w:jc w:val="center"/>
        <w:rPr>
          <w:rFonts w:cs="Calibri"/>
          <w:b/>
          <w:i/>
          <w:iCs/>
          <w:sz w:val="18"/>
          <w:szCs w:val="18"/>
        </w:rPr>
      </w:pPr>
      <w:r w:rsidRPr="00510FB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PROGRAM PUTOVANJA GRČKA 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NEA </w:t>
      </w:r>
      <w:r w:rsidR="006166D1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PLAJA 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>LE</w:t>
      </w:r>
      <w:r w:rsidR="00C96BD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TO 2026 – program </w:t>
      </w:r>
      <w:proofErr w:type="spellStart"/>
      <w:r w:rsidR="00C96BD4">
        <w:rPr>
          <w:rFonts w:asciiTheme="minorHAnsi" w:hAnsiTheme="minorHAnsi" w:cstheme="minorHAnsi"/>
          <w:b/>
          <w:color w:val="002060"/>
          <w:sz w:val="18"/>
          <w:szCs w:val="18"/>
        </w:rPr>
        <w:t>putovanja</w:t>
      </w:r>
      <w:proofErr w:type="spellEnd"/>
      <w:r w:rsidR="00C96BD4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br.</w:t>
      </w:r>
      <w:r w:rsidR="00AA3446">
        <w:rPr>
          <w:rFonts w:asciiTheme="minorHAnsi" w:hAnsiTheme="minorHAnsi" w:cstheme="minorHAnsi"/>
          <w:b/>
          <w:color w:val="002060"/>
          <w:sz w:val="18"/>
          <w:szCs w:val="18"/>
        </w:rPr>
        <w:t>3</w:t>
      </w:r>
      <w:r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od </w:t>
      </w:r>
      <w:r w:rsidR="00AA3446">
        <w:rPr>
          <w:rFonts w:asciiTheme="minorHAnsi" w:hAnsiTheme="minorHAnsi" w:cstheme="minorHAnsi"/>
          <w:b/>
          <w:color w:val="002060"/>
          <w:sz w:val="18"/>
          <w:szCs w:val="18"/>
        </w:rPr>
        <w:t>17</w:t>
      </w:r>
      <w:r w:rsidR="006166D1">
        <w:rPr>
          <w:rFonts w:asciiTheme="minorHAnsi" w:hAnsiTheme="minorHAnsi" w:cstheme="minorHAnsi"/>
          <w:b/>
          <w:color w:val="002060"/>
          <w:sz w:val="18"/>
          <w:szCs w:val="18"/>
        </w:rPr>
        <w:t>.0</w:t>
      </w:r>
      <w:r w:rsidR="00AA3446">
        <w:rPr>
          <w:rFonts w:asciiTheme="minorHAnsi" w:hAnsiTheme="minorHAnsi" w:cstheme="minorHAnsi"/>
          <w:b/>
          <w:color w:val="002060"/>
          <w:sz w:val="18"/>
          <w:szCs w:val="18"/>
        </w:rPr>
        <w:t>2</w:t>
      </w:r>
      <w:r w:rsidR="006166D1">
        <w:rPr>
          <w:rFonts w:asciiTheme="minorHAnsi" w:hAnsiTheme="minorHAnsi" w:cstheme="minorHAnsi"/>
          <w:b/>
          <w:color w:val="002060"/>
          <w:sz w:val="18"/>
          <w:szCs w:val="18"/>
        </w:rPr>
        <w:t>.2026.</w:t>
      </w:r>
    </w:p>
    <w:p w14:paraId="5F41AB50" w14:textId="77777777" w:rsidR="00957DED" w:rsidRPr="003F1D23" w:rsidRDefault="00957DED" w:rsidP="003F1D23">
      <w:pPr>
        <w:pStyle w:val="Default"/>
      </w:pPr>
    </w:p>
    <w:sectPr w:rsidR="00957DED" w:rsidRPr="003F1D23" w:rsidSect="00EF4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0" w:right="900" w:bottom="1440" w:left="12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4C91" w14:textId="77777777" w:rsidR="00DA0FB9" w:rsidRDefault="00DA0FB9">
      <w:pPr>
        <w:spacing w:line="240" w:lineRule="auto"/>
      </w:pPr>
      <w:r>
        <w:separator/>
      </w:r>
    </w:p>
  </w:endnote>
  <w:endnote w:type="continuationSeparator" w:id="0">
    <w:p w14:paraId="2B0729B3" w14:textId="77777777" w:rsidR="00DA0FB9" w:rsidRDefault="00DA0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DE21" w14:textId="77777777" w:rsidR="00D80509" w:rsidRDefault="00D80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F149" w14:textId="77777777" w:rsidR="00D80509" w:rsidRDefault="00D80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827B" w14:textId="77777777" w:rsidR="00D80509" w:rsidRDefault="00D80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E9AF" w14:textId="77777777" w:rsidR="00DA0FB9" w:rsidRDefault="00DA0FB9">
      <w:pPr>
        <w:spacing w:after="0"/>
      </w:pPr>
      <w:r>
        <w:separator/>
      </w:r>
    </w:p>
  </w:footnote>
  <w:footnote w:type="continuationSeparator" w:id="0">
    <w:p w14:paraId="653D47C8" w14:textId="77777777" w:rsidR="00DA0FB9" w:rsidRDefault="00DA0F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5A1E" w14:textId="77777777" w:rsidR="00D80509" w:rsidRDefault="00D80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EA8B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8"/>
      </w:rPr>
    </w:pPr>
    <w:r>
      <w:rPr>
        <w:b/>
        <w:noProof/>
        <w:color w:val="365F91" w:themeColor="accent1" w:themeShade="BF"/>
        <w:sz w:val="28"/>
      </w:rPr>
      <w:drawing>
        <wp:anchor distT="0" distB="0" distL="114300" distR="114300" simplePos="0" relativeHeight="251659264" behindDoc="1" locked="0" layoutInCell="1" allowOverlap="1" wp14:anchorId="6810198A" wp14:editId="4CB0A6E6">
          <wp:simplePos x="0" y="0"/>
          <wp:positionH relativeFrom="column">
            <wp:posOffset>-323850</wp:posOffset>
          </wp:positionH>
          <wp:positionV relativeFrom="paragraph">
            <wp:posOffset>85725</wp:posOffset>
          </wp:positionV>
          <wp:extent cx="2314575" cy="895350"/>
          <wp:effectExtent l="19050" t="0" r="0" b="0"/>
          <wp:wrapNone/>
          <wp:docPr id="1" name="Picture 0" descr="HEDONIK znak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EDONIK znak logoti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</w:rPr>
      <w:t>HEDONIC TRAVEL D. O. O.</w:t>
    </w:r>
  </w:p>
  <w:p w14:paraId="7B64B2E2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Gavrila </w:t>
    </w:r>
    <w:proofErr w:type="spellStart"/>
    <w:r>
      <w:rPr>
        <w:b/>
        <w:color w:val="365F91" w:themeColor="accent1" w:themeShade="BF"/>
        <w:sz w:val="20"/>
      </w:rPr>
      <w:t>Principa</w:t>
    </w:r>
    <w:proofErr w:type="spellEnd"/>
    <w:r>
      <w:rPr>
        <w:b/>
        <w:color w:val="365F91" w:themeColor="accent1" w:themeShade="BF"/>
        <w:sz w:val="20"/>
      </w:rPr>
      <w:t xml:space="preserve"> br. 52, 11000 Beograd</w:t>
    </w:r>
  </w:p>
  <w:p w14:paraId="612F7785" w14:textId="77777777" w:rsidR="00D80509" w:rsidRDefault="00D80509">
    <w:pPr>
      <w:pStyle w:val="Header"/>
      <w:tabs>
        <w:tab w:val="clear" w:pos="4680"/>
        <w:tab w:val="clear" w:pos="9360"/>
      </w:tabs>
      <w:ind w:left="1440"/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r>
      <w:rPr>
        <w:b/>
        <w:color w:val="365F91" w:themeColor="accent1" w:themeShade="BF"/>
        <w:sz w:val="20"/>
      </w:rPr>
      <w:tab/>
    </w:r>
    <w:proofErr w:type="spellStart"/>
    <w:r>
      <w:rPr>
        <w:b/>
        <w:color w:val="365F91" w:themeColor="accent1" w:themeShade="BF"/>
        <w:sz w:val="20"/>
      </w:rPr>
      <w:t>Licenca</w:t>
    </w:r>
    <w:proofErr w:type="spellEnd"/>
    <w:r>
      <w:rPr>
        <w:b/>
        <w:color w:val="365F91" w:themeColor="accent1" w:themeShade="BF"/>
        <w:sz w:val="20"/>
      </w:rPr>
      <w:t xml:space="preserve"> A </w:t>
    </w:r>
    <w:proofErr w:type="spellStart"/>
    <w:r>
      <w:rPr>
        <w:b/>
        <w:color w:val="365F91" w:themeColor="accent1" w:themeShade="BF"/>
        <w:sz w:val="20"/>
      </w:rPr>
      <w:t>kategorije</w:t>
    </w:r>
    <w:proofErr w:type="spellEnd"/>
    <w:r>
      <w:rPr>
        <w:b/>
        <w:color w:val="365F91" w:themeColor="accent1" w:themeShade="BF"/>
        <w:sz w:val="20"/>
      </w:rPr>
      <w:t xml:space="preserve"> OTP 103/2021 od 08.10.2021. </w:t>
    </w:r>
  </w:p>
  <w:p w14:paraId="7509070C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>PIB: 101440972; MB: 17038001</w:t>
    </w:r>
  </w:p>
  <w:p w14:paraId="7660607A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T: +381 11 366 00 22; M: +381 60 366 00 22 </w:t>
    </w:r>
  </w:p>
  <w:p w14:paraId="6A6211BE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proofErr w:type="spellStart"/>
    <w:r>
      <w:rPr>
        <w:b/>
        <w:color w:val="365F91" w:themeColor="accent1" w:themeShade="BF"/>
        <w:sz w:val="20"/>
      </w:rPr>
      <w:t>Račun</w:t>
    </w:r>
    <w:proofErr w:type="spellEnd"/>
    <w:r>
      <w:rPr>
        <w:b/>
        <w:color w:val="365F91" w:themeColor="accent1" w:themeShade="BF"/>
        <w:sz w:val="20"/>
      </w:rPr>
      <w:t>: 160 – 417069 – 72</w:t>
    </w:r>
  </w:p>
  <w:p w14:paraId="4F4F95BE" w14:textId="77777777" w:rsidR="00D80509" w:rsidRDefault="00D80509">
    <w:pPr>
      <w:pStyle w:val="Header"/>
      <w:tabs>
        <w:tab w:val="clear" w:pos="4680"/>
        <w:tab w:val="clear" w:pos="9360"/>
      </w:tabs>
      <w:jc w:val="right"/>
      <w:rPr>
        <w:b/>
        <w:color w:val="365F91" w:themeColor="accent1" w:themeShade="BF"/>
        <w:sz w:val="20"/>
      </w:rPr>
    </w:pPr>
    <w:r>
      <w:rPr>
        <w:b/>
        <w:color w:val="365F91" w:themeColor="accent1" w:themeShade="BF"/>
        <w:sz w:val="20"/>
      </w:rPr>
      <w:t xml:space="preserve">Email: </w:t>
    </w:r>
    <w:proofErr w:type="gramStart"/>
    <w:r>
      <w:rPr>
        <w:b/>
        <w:color w:val="365F91" w:themeColor="accent1" w:themeShade="BF"/>
        <w:sz w:val="20"/>
      </w:rPr>
      <w:t>info@hedonictravel.rs ;</w:t>
    </w:r>
    <w:proofErr w:type="gramEnd"/>
    <w:r>
      <w:rPr>
        <w:b/>
        <w:color w:val="365F91" w:themeColor="accent1" w:themeShade="BF"/>
        <w:sz w:val="20"/>
      </w:rPr>
      <w:t xml:space="preserve"> website: </w:t>
    </w:r>
    <w:hyperlink r:id="rId2" w:history="1">
      <w:r>
        <w:rPr>
          <w:rStyle w:val="Hyperlink"/>
          <w:b/>
          <w:color w:val="365F91" w:themeColor="accent1" w:themeShade="BF"/>
          <w:sz w:val="20"/>
        </w:rPr>
        <w:t>www.hedonictravel.rs</w:t>
      </w:r>
    </w:hyperlink>
  </w:p>
  <w:p w14:paraId="3B306D32" w14:textId="77777777" w:rsidR="00D80509" w:rsidRDefault="00D80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5744" w14:textId="77777777" w:rsidR="00D80509" w:rsidRDefault="00D80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C8ED3"/>
    <w:multiLevelType w:val="multilevel"/>
    <w:tmpl w:val="ABEC8E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CB3C60D"/>
    <w:multiLevelType w:val="multilevel"/>
    <w:tmpl w:val="DCB3C6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B783303"/>
    <w:multiLevelType w:val="multilevel"/>
    <w:tmpl w:val="EB7833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12D5B26"/>
    <w:multiLevelType w:val="hybridMultilevel"/>
    <w:tmpl w:val="15F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39BD"/>
    <w:multiLevelType w:val="multilevel"/>
    <w:tmpl w:val="210D39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B58"/>
    <w:multiLevelType w:val="hybridMultilevel"/>
    <w:tmpl w:val="FA0A1420"/>
    <w:lvl w:ilvl="0" w:tplc="D4009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3A5C"/>
    <w:multiLevelType w:val="hybridMultilevel"/>
    <w:tmpl w:val="B5FAB126"/>
    <w:lvl w:ilvl="0" w:tplc="DD268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E4329"/>
    <w:multiLevelType w:val="multilevel"/>
    <w:tmpl w:val="83B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1AD9"/>
    <w:multiLevelType w:val="multilevel"/>
    <w:tmpl w:val="32231A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B69"/>
    <w:multiLevelType w:val="hybridMultilevel"/>
    <w:tmpl w:val="39D0519C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9443B"/>
    <w:multiLevelType w:val="hybridMultilevel"/>
    <w:tmpl w:val="3D347326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3326"/>
    <w:multiLevelType w:val="multilevel"/>
    <w:tmpl w:val="F934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34A70"/>
    <w:multiLevelType w:val="hybridMultilevel"/>
    <w:tmpl w:val="CFC4476E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823C6"/>
    <w:multiLevelType w:val="multilevel"/>
    <w:tmpl w:val="56F82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81F3"/>
    <w:multiLevelType w:val="multilevel"/>
    <w:tmpl w:val="59EE8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21D2B61"/>
    <w:multiLevelType w:val="hybridMultilevel"/>
    <w:tmpl w:val="B8540A72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27007"/>
    <w:multiLevelType w:val="multilevel"/>
    <w:tmpl w:val="67027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0C04665"/>
    <w:multiLevelType w:val="multilevel"/>
    <w:tmpl w:val="896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1093C"/>
    <w:multiLevelType w:val="hybridMultilevel"/>
    <w:tmpl w:val="ECCC04C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A7772"/>
    <w:multiLevelType w:val="hybridMultilevel"/>
    <w:tmpl w:val="5D76DA08"/>
    <w:lvl w:ilvl="0" w:tplc="D400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1244F"/>
    <w:multiLevelType w:val="multilevel"/>
    <w:tmpl w:val="7CE124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4829">
    <w:abstractNumId w:val="16"/>
  </w:num>
  <w:num w:numId="2" w16cid:durableId="1493176473">
    <w:abstractNumId w:val="0"/>
  </w:num>
  <w:num w:numId="3" w16cid:durableId="850919886">
    <w:abstractNumId w:val="14"/>
  </w:num>
  <w:num w:numId="4" w16cid:durableId="1585142509">
    <w:abstractNumId w:val="1"/>
  </w:num>
  <w:num w:numId="5" w16cid:durableId="487940865">
    <w:abstractNumId w:val="2"/>
  </w:num>
  <w:num w:numId="6" w16cid:durableId="1560243740">
    <w:abstractNumId w:val="7"/>
  </w:num>
  <w:num w:numId="7" w16cid:durableId="1642616733">
    <w:abstractNumId w:val="12"/>
  </w:num>
  <w:num w:numId="8" w16cid:durableId="1666663720">
    <w:abstractNumId w:val="18"/>
  </w:num>
  <w:num w:numId="9" w16cid:durableId="1381784627">
    <w:abstractNumId w:val="5"/>
  </w:num>
  <w:num w:numId="10" w16cid:durableId="748846073">
    <w:abstractNumId w:val="3"/>
  </w:num>
  <w:num w:numId="11" w16cid:durableId="1710641858">
    <w:abstractNumId w:val="10"/>
  </w:num>
  <w:num w:numId="12" w16cid:durableId="133374963">
    <w:abstractNumId w:val="19"/>
  </w:num>
  <w:num w:numId="13" w16cid:durableId="370886044">
    <w:abstractNumId w:val="9"/>
  </w:num>
  <w:num w:numId="14" w16cid:durableId="2096899718">
    <w:abstractNumId w:val="15"/>
  </w:num>
  <w:num w:numId="15" w16cid:durableId="18873318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5072311">
    <w:abstractNumId w:val="8"/>
  </w:num>
  <w:num w:numId="17" w16cid:durableId="2116512580">
    <w:abstractNumId w:val="20"/>
  </w:num>
  <w:num w:numId="18" w16cid:durableId="1979988239">
    <w:abstractNumId w:val="13"/>
  </w:num>
  <w:num w:numId="19" w16cid:durableId="198512748">
    <w:abstractNumId w:val="4"/>
  </w:num>
  <w:num w:numId="20" w16cid:durableId="2008819275">
    <w:abstractNumId w:val="6"/>
  </w:num>
  <w:num w:numId="21" w16cid:durableId="220673959">
    <w:abstractNumId w:val="11"/>
  </w:num>
  <w:num w:numId="22" w16cid:durableId="1481732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D2"/>
    <w:rsid w:val="0000017A"/>
    <w:rsid w:val="0000449A"/>
    <w:rsid w:val="00007B9E"/>
    <w:rsid w:val="00015693"/>
    <w:rsid w:val="00017D1E"/>
    <w:rsid w:val="0002421E"/>
    <w:rsid w:val="000445FD"/>
    <w:rsid w:val="000500D1"/>
    <w:rsid w:val="0006194D"/>
    <w:rsid w:val="00076EBE"/>
    <w:rsid w:val="00077D3B"/>
    <w:rsid w:val="000803E6"/>
    <w:rsid w:val="00086C6C"/>
    <w:rsid w:val="000A144E"/>
    <w:rsid w:val="000A3BC9"/>
    <w:rsid w:val="000A3EC7"/>
    <w:rsid w:val="000B0991"/>
    <w:rsid w:val="000C5B15"/>
    <w:rsid w:val="000D0161"/>
    <w:rsid w:val="000D79A7"/>
    <w:rsid w:val="000F423B"/>
    <w:rsid w:val="00132606"/>
    <w:rsid w:val="001562D7"/>
    <w:rsid w:val="00174BA6"/>
    <w:rsid w:val="00194B55"/>
    <w:rsid w:val="001D19D9"/>
    <w:rsid w:val="001D73E0"/>
    <w:rsid w:val="001F2363"/>
    <w:rsid w:val="0022531B"/>
    <w:rsid w:val="00255C93"/>
    <w:rsid w:val="0026345F"/>
    <w:rsid w:val="00267F20"/>
    <w:rsid w:val="0028162C"/>
    <w:rsid w:val="00287A1D"/>
    <w:rsid w:val="002A137A"/>
    <w:rsid w:val="002C5E0F"/>
    <w:rsid w:val="00313088"/>
    <w:rsid w:val="00320069"/>
    <w:rsid w:val="00373162"/>
    <w:rsid w:val="003803CF"/>
    <w:rsid w:val="00385CA4"/>
    <w:rsid w:val="00390299"/>
    <w:rsid w:val="00397DCA"/>
    <w:rsid w:val="003A0688"/>
    <w:rsid w:val="003A0718"/>
    <w:rsid w:val="003B1E55"/>
    <w:rsid w:val="003B602A"/>
    <w:rsid w:val="003C1CAC"/>
    <w:rsid w:val="003C2BE9"/>
    <w:rsid w:val="003D7405"/>
    <w:rsid w:val="003E633E"/>
    <w:rsid w:val="003E69D2"/>
    <w:rsid w:val="003F1D23"/>
    <w:rsid w:val="003F2A42"/>
    <w:rsid w:val="00412A96"/>
    <w:rsid w:val="00412D8E"/>
    <w:rsid w:val="00424B12"/>
    <w:rsid w:val="0042675F"/>
    <w:rsid w:val="00437532"/>
    <w:rsid w:val="00442CA6"/>
    <w:rsid w:val="004613EA"/>
    <w:rsid w:val="00477C22"/>
    <w:rsid w:val="004B071B"/>
    <w:rsid w:val="004B5E8B"/>
    <w:rsid w:val="004C5770"/>
    <w:rsid w:val="004D4059"/>
    <w:rsid w:val="004F1F79"/>
    <w:rsid w:val="004F2EA3"/>
    <w:rsid w:val="00551374"/>
    <w:rsid w:val="005B70E1"/>
    <w:rsid w:val="005B7963"/>
    <w:rsid w:val="005E70BB"/>
    <w:rsid w:val="005F073E"/>
    <w:rsid w:val="00604D1B"/>
    <w:rsid w:val="00612586"/>
    <w:rsid w:val="006166D1"/>
    <w:rsid w:val="00616FC2"/>
    <w:rsid w:val="0063608D"/>
    <w:rsid w:val="0064275A"/>
    <w:rsid w:val="00663127"/>
    <w:rsid w:val="006868EF"/>
    <w:rsid w:val="006A2134"/>
    <w:rsid w:val="006A5D68"/>
    <w:rsid w:val="006D0093"/>
    <w:rsid w:val="006D22F9"/>
    <w:rsid w:val="006F2EB9"/>
    <w:rsid w:val="00711983"/>
    <w:rsid w:val="00733C69"/>
    <w:rsid w:val="00734D6D"/>
    <w:rsid w:val="007355A1"/>
    <w:rsid w:val="007401B4"/>
    <w:rsid w:val="00755507"/>
    <w:rsid w:val="007808CE"/>
    <w:rsid w:val="00785C6D"/>
    <w:rsid w:val="007D0EF4"/>
    <w:rsid w:val="007E365E"/>
    <w:rsid w:val="007F3230"/>
    <w:rsid w:val="007F35B2"/>
    <w:rsid w:val="0080527E"/>
    <w:rsid w:val="00831F74"/>
    <w:rsid w:val="00854095"/>
    <w:rsid w:val="008846CC"/>
    <w:rsid w:val="00885DE8"/>
    <w:rsid w:val="008A6A78"/>
    <w:rsid w:val="008C1B15"/>
    <w:rsid w:val="008C4B4E"/>
    <w:rsid w:val="008D2F78"/>
    <w:rsid w:val="008F5574"/>
    <w:rsid w:val="009108F9"/>
    <w:rsid w:val="00923AA1"/>
    <w:rsid w:val="00934F66"/>
    <w:rsid w:val="00952C4E"/>
    <w:rsid w:val="00957DED"/>
    <w:rsid w:val="00961DAF"/>
    <w:rsid w:val="00967E88"/>
    <w:rsid w:val="009A487A"/>
    <w:rsid w:val="009D0FBF"/>
    <w:rsid w:val="009D6D47"/>
    <w:rsid w:val="009E1571"/>
    <w:rsid w:val="009F2C78"/>
    <w:rsid w:val="00A226DB"/>
    <w:rsid w:val="00A30EF3"/>
    <w:rsid w:val="00A36E1A"/>
    <w:rsid w:val="00A447DA"/>
    <w:rsid w:val="00A626D8"/>
    <w:rsid w:val="00A67430"/>
    <w:rsid w:val="00A83D7B"/>
    <w:rsid w:val="00AA3446"/>
    <w:rsid w:val="00AB71C1"/>
    <w:rsid w:val="00B06D84"/>
    <w:rsid w:val="00B17E81"/>
    <w:rsid w:val="00B44433"/>
    <w:rsid w:val="00B57636"/>
    <w:rsid w:val="00BB26B7"/>
    <w:rsid w:val="00BB55FE"/>
    <w:rsid w:val="00BE5DD7"/>
    <w:rsid w:val="00C1108C"/>
    <w:rsid w:val="00C37800"/>
    <w:rsid w:val="00C41361"/>
    <w:rsid w:val="00C421B0"/>
    <w:rsid w:val="00C629E4"/>
    <w:rsid w:val="00C63956"/>
    <w:rsid w:val="00C807EB"/>
    <w:rsid w:val="00C96BD4"/>
    <w:rsid w:val="00C97424"/>
    <w:rsid w:val="00CE2A70"/>
    <w:rsid w:val="00CE5039"/>
    <w:rsid w:val="00D05200"/>
    <w:rsid w:val="00D104FB"/>
    <w:rsid w:val="00D32196"/>
    <w:rsid w:val="00D746F3"/>
    <w:rsid w:val="00D80509"/>
    <w:rsid w:val="00D87EE6"/>
    <w:rsid w:val="00D9114D"/>
    <w:rsid w:val="00DA0FB9"/>
    <w:rsid w:val="00DA60CF"/>
    <w:rsid w:val="00DC59F1"/>
    <w:rsid w:val="00DD0481"/>
    <w:rsid w:val="00DD3445"/>
    <w:rsid w:val="00E05879"/>
    <w:rsid w:val="00E21E70"/>
    <w:rsid w:val="00E43A29"/>
    <w:rsid w:val="00E477E6"/>
    <w:rsid w:val="00E51F9F"/>
    <w:rsid w:val="00E56B57"/>
    <w:rsid w:val="00E64882"/>
    <w:rsid w:val="00EA60CA"/>
    <w:rsid w:val="00EB6D5A"/>
    <w:rsid w:val="00ED748F"/>
    <w:rsid w:val="00EF47F1"/>
    <w:rsid w:val="00F02D7E"/>
    <w:rsid w:val="00F14DAF"/>
    <w:rsid w:val="00F20926"/>
    <w:rsid w:val="00F3469F"/>
    <w:rsid w:val="00F45E31"/>
    <w:rsid w:val="00F60EA6"/>
    <w:rsid w:val="00F86018"/>
    <w:rsid w:val="00F92582"/>
    <w:rsid w:val="00FA07BA"/>
    <w:rsid w:val="00FB382E"/>
    <w:rsid w:val="00FF3C65"/>
    <w:rsid w:val="00FF3FF0"/>
    <w:rsid w:val="01584222"/>
    <w:rsid w:val="1422216F"/>
    <w:rsid w:val="1A036019"/>
    <w:rsid w:val="238E41F5"/>
    <w:rsid w:val="5E5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FFF4"/>
  <w15:docId w15:val="{B8A4FF45-BA37-4E46-A573-4723E64E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4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D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F47F1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EF47F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EF47F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EF47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F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7F1"/>
    <w:rPr>
      <w:b/>
      <w:bCs/>
    </w:rPr>
  </w:style>
  <w:style w:type="table" w:styleId="MediumGrid3-Accent5">
    <w:name w:val="Medium Grid 3 Accent 5"/>
    <w:basedOn w:val="TableNormal"/>
    <w:uiPriority w:val="69"/>
    <w:rsid w:val="00EF47F1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F47F1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F47F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F4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EF47F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unhideWhenUsed/>
    <w:qFormat/>
    <w:rsid w:val="00E56B57"/>
    <w:pPr>
      <w:ind w:left="720"/>
      <w:contextualSpacing/>
    </w:pPr>
  </w:style>
  <w:style w:type="character" w:customStyle="1" w:styleId="15">
    <w:name w:val="15"/>
    <w:basedOn w:val="DefaultParagraphFont"/>
    <w:qFormat/>
    <w:rsid w:val="00E56B57"/>
    <w:rPr>
      <w:rFonts w:ascii="Calibri" w:hAnsi="Calibri" w:cs="Calibri" w:hint="default"/>
      <w:b/>
      <w:bCs/>
    </w:rPr>
  </w:style>
  <w:style w:type="table" w:styleId="TableGrid">
    <w:name w:val="Table Grid"/>
    <w:basedOn w:val="TableNormal"/>
    <w:uiPriority w:val="59"/>
    <w:qFormat/>
    <w:rsid w:val="00E56B57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F1D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D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4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8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638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509">
              <w:marLeft w:val="0"/>
              <w:marRight w:val="0"/>
              <w:marTop w:val="44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donictravel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lenijum-osiguranje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donictravel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BAD1-2F51-4E71-99E3-3F2A10D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SALTER1</dc:creator>
  <cp:lastModifiedBy>Dunja Momcilovic</cp:lastModifiedBy>
  <cp:revision>2</cp:revision>
  <cp:lastPrinted>2024-11-29T11:33:00Z</cp:lastPrinted>
  <dcterms:created xsi:type="dcterms:W3CDTF">2026-02-17T17:56:00Z</dcterms:created>
  <dcterms:modified xsi:type="dcterms:W3CDTF">2026-02-17T17:56:00Z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5F52B38831C6447488F2BA7C4719FEC7_13</vt:lpwstr>
  </property>
</Properties>
</file>